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2A" w:rsidRDefault="00A5272A" w:rsidP="00A5272A">
      <w:pPr>
        <w:spacing w:after="0"/>
        <w:ind w:left="708" w:firstLine="708"/>
        <w:rPr>
          <w:rFonts w:cstheme="minorHAnsi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-66040</wp:posOffset>
            </wp:positionV>
            <wp:extent cx="760095" cy="763270"/>
            <wp:effectExtent l="0" t="0" r="0" b="0"/>
            <wp:wrapTight wrapText="bothSides">
              <wp:wrapPolygon edited="0">
                <wp:start x="0" y="0"/>
                <wp:lineTo x="0" y="21025"/>
                <wp:lineTo x="21113" y="21025"/>
                <wp:lineTo x="21113" y="0"/>
                <wp:lineTo x="0" y="0"/>
              </wp:wrapPolygon>
            </wp:wrapTight>
            <wp:docPr id="1" name="Resim 1" descr="ne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ne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</w:rPr>
        <w:t>YAKINDOĞU ÜNİVERSİTESİ</w:t>
      </w:r>
    </w:p>
    <w:p w:rsidR="00A5272A" w:rsidRDefault="00A5272A" w:rsidP="00A5272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DİŞHEKİMLİĞİ FAKÜLTESİ</w:t>
      </w:r>
    </w:p>
    <w:p w:rsidR="00A5272A" w:rsidRDefault="00A5272A" w:rsidP="00A5272A">
      <w:pPr>
        <w:spacing w:after="0"/>
        <w:jc w:val="right"/>
        <w:rPr>
          <w:rFonts w:cstheme="minorHAnsi"/>
        </w:rPr>
      </w:pPr>
      <w:proofErr w:type="spellStart"/>
      <w:proofErr w:type="gramStart"/>
      <w:r>
        <w:rPr>
          <w:rFonts w:cstheme="minorHAnsi"/>
        </w:rPr>
        <w:t>Prof.Dr.Atilla</w:t>
      </w:r>
      <w:proofErr w:type="spellEnd"/>
      <w:proofErr w:type="gramEnd"/>
      <w:r>
        <w:rPr>
          <w:rFonts w:cstheme="minorHAnsi"/>
        </w:rPr>
        <w:t xml:space="preserve"> BERBEROĞLU</w:t>
      </w:r>
    </w:p>
    <w:p w:rsidR="00CD7BAA" w:rsidRPr="00733D85" w:rsidRDefault="00CD7BAA" w:rsidP="00A5272A">
      <w:pPr>
        <w:spacing w:line="240" w:lineRule="auto"/>
        <w:rPr>
          <w:b/>
          <w:bCs/>
        </w:rPr>
      </w:pPr>
      <w:r w:rsidRPr="00733D85">
        <w:rPr>
          <w:b/>
          <w:bCs/>
        </w:rPr>
        <w:t>PERİODONTAL TEDAVİDE KULLANILAN KEMOTERAPÖTİK AJANLAR</w:t>
      </w:r>
    </w:p>
    <w:p w:rsidR="00E8408D" w:rsidRPr="00E8408D" w:rsidRDefault="007D666C" w:rsidP="00374C9E">
      <w:pPr>
        <w:autoSpaceDE w:val="0"/>
        <w:autoSpaceDN w:val="0"/>
        <w:adjustRightInd w:val="0"/>
        <w:spacing w:line="240" w:lineRule="auto"/>
        <w:rPr>
          <w:bCs/>
        </w:rPr>
      </w:pPr>
      <w:r w:rsidRPr="007D666C">
        <w:rPr>
          <w:bCs/>
        </w:rPr>
        <w:t xml:space="preserve">Periodontal ceplerde 500’den fazla bakteri türü izole edilmiştir. Ancak </w:t>
      </w:r>
      <w:r w:rsidR="00A406B7">
        <w:rPr>
          <w:bCs/>
        </w:rPr>
        <w:t xml:space="preserve">bunların sadece </w:t>
      </w:r>
      <w:r w:rsidR="009C48A1" w:rsidRPr="007D666C">
        <w:rPr>
          <w:bCs/>
        </w:rPr>
        <w:t xml:space="preserve">birkaç türü </w:t>
      </w:r>
      <w:r w:rsidRPr="007D666C">
        <w:rPr>
          <w:bCs/>
        </w:rPr>
        <w:t>periodontal lezyonlara neden ol</w:t>
      </w:r>
      <w:r w:rsidR="009C48A1">
        <w:rPr>
          <w:bCs/>
        </w:rPr>
        <w:t>ur</w:t>
      </w:r>
      <w:r w:rsidRPr="007D666C">
        <w:rPr>
          <w:bCs/>
        </w:rPr>
        <w:t xml:space="preserve">. </w:t>
      </w:r>
      <w:r w:rsidR="006C44F8">
        <w:rPr>
          <w:bCs/>
        </w:rPr>
        <w:t xml:space="preserve">Periodontal açıdan en çok </w:t>
      </w:r>
      <w:proofErr w:type="spellStart"/>
      <w:r w:rsidRPr="007D666C">
        <w:rPr>
          <w:bCs/>
        </w:rPr>
        <w:t>patojen</w:t>
      </w:r>
      <w:r w:rsidR="006C44F8">
        <w:rPr>
          <w:bCs/>
        </w:rPr>
        <w:t>ite</w:t>
      </w:r>
      <w:proofErr w:type="spellEnd"/>
      <w:r w:rsidR="006C44F8">
        <w:rPr>
          <w:bCs/>
        </w:rPr>
        <w:t xml:space="preserve"> gösterenler</w:t>
      </w:r>
      <w:r w:rsidRPr="007D666C">
        <w:rPr>
          <w:bCs/>
        </w:rPr>
        <w:t xml:space="preserve"> Gr (-) anaerobik </w:t>
      </w:r>
      <w:r w:rsidR="009C48A1">
        <w:rPr>
          <w:bCs/>
        </w:rPr>
        <w:t>çubuklardır</w:t>
      </w:r>
      <w:r w:rsidRPr="007D666C">
        <w:rPr>
          <w:bCs/>
        </w:rPr>
        <w:t xml:space="preserve">. Bunun yanı sıra </w:t>
      </w:r>
      <w:r w:rsidR="006C44F8">
        <w:rPr>
          <w:bCs/>
        </w:rPr>
        <w:t xml:space="preserve">patojen olan </w:t>
      </w:r>
      <w:r w:rsidRPr="007D666C">
        <w:rPr>
          <w:bCs/>
        </w:rPr>
        <w:t xml:space="preserve">Gr (+) fakültatif ve anaerobik kok ve </w:t>
      </w:r>
      <w:r w:rsidR="0092774A" w:rsidRPr="007D666C">
        <w:rPr>
          <w:bCs/>
        </w:rPr>
        <w:t>rotlar</w:t>
      </w:r>
      <w:r w:rsidRPr="007D666C">
        <w:rPr>
          <w:bCs/>
        </w:rPr>
        <w:t xml:space="preserve"> ve Gr (-) fakültatif </w:t>
      </w:r>
      <w:r w:rsidR="0092774A">
        <w:rPr>
          <w:bCs/>
        </w:rPr>
        <w:t>rot</w:t>
      </w:r>
      <w:r w:rsidRPr="007D666C">
        <w:rPr>
          <w:bCs/>
        </w:rPr>
        <w:t xml:space="preserve">lar </w:t>
      </w:r>
      <w:r w:rsidR="005D4397">
        <w:rPr>
          <w:bCs/>
        </w:rPr>
        <w:t>d</w:t>
      </w:r>
      <w:r w:rsidR="006C44F8">
        <w:rPr>
          <w:bCs/>
        </w:rPr>
        <w:t>a vardır.</w:t>
      </w:r>
      <w:r w:rsidR="005D4397">
        <w:rPr>
          <w:bCs/>
        </w:rPr>
        <w:t xml:space="preserve"> </w:t>
      </w:r>
      <w:r w:rsidR="006C44F8">
        <w:rPr>
          <w:bCs/>
        </w:rPr>
        <w:t>B</w:t>
      </w:r>
      <w:r w:rsidR="006C44F8" w:rsidRPr="007D666C">
        <w:rPr>
          <w:bCs/>
        </w:rPr>
        <w:t xml:space="preserve">irçok antibiyotik </w:t>
      </w:r>
      <w:r w:rsidR="006C44F8">
        <w:rPr>
          <w:bCs/>
        </w:rPr>
        <w:t xml:space="preserve">tüm bu patojenler üzerinde </w:t>
      </w:r>
      <w:r w:rsidRPr="007D666C">
        <w:rPr>
          <w:bCs/>
        </w:rPr>
        <w:t xml:space="preserve">farklı </w:t>
      </w:r>
      <w:r w:rsidR="006C44F8">
        <w:rPr>
          <w:bCs/>
        </w:rPr>
        <w:t xml:space="preserve">şekillerde ve farklı </w:t>
      </w:r>
      <w:r w:rsidRPr="007D666C">
        <w:rPr>
          <w:bCs/>
        </w:rPr>
        <w:t xml:space="preserve">derecelerde </w:t>
      </w:r>
      <w:r w:rsidR="006C44F8">
        <w:rPr>
          <w:bCs/>
        </w:rPr>
        <w:t>etki gösterir</w:t>
      </w:r>
      <w:r w:rsidRPr="007D666C">
        <w:rPr>
          <w:bCs/>
        </w:rPr>
        <w:t xml:space="preserve">. </w:t>
      </w:r>
      <w:r w:rsidR="00E8408D" w:rsidRPr="0092774A">
        <w:rPr>
          <w:bCs/>
        </w:rPr>
        <w:t>Mekanik periodontal tedavi</w:t>
      </w:r>
      <w:r w:rsidR="006C44F8">
        <w:rPr>
          <w:bCs/>
        </w:rPr>
        <w:t xml:space="preserve"> ile</w:t>
      </w:r>
      <w:r w:rsidR="00E8408D" w:rsidRPr="0092774A">
        <w:rPr>
          <w:bCs/>
        </w:rPr>
        <w:t xml:space="preserve"> tüm supra ve</w:t>
      </w:r>
      <w:r w:rsidR="0092774A">
        <w:rPr>
          <w:bCs/>
        </w:rPr>
        <w:t xml:space="preserve"> </w:t>
      </w:r>
      <w:r w:rsidR="001D338B">
        <w:rPr>
          <w:bCs/>
        </w:rPr>
        <w:t>subgingival bakteri kütlesi</w:t>
      </w:r>
      <w:r w:rsidR="00E8408D" w:rsidRPr="00E8408D">
        <w:rPr>
          <w:bCs/>
        </w:rPr>
        <w:t xml:space="preserve"> </w:t>
      </w:r>
      <w:r w:rsidR="006C44F8">
        <w:rPr>
          <w:bCs/>
        </w:rPr>
        <w:t>uzaklaştırılsa</w:t>
      </w:r>
      <w:r w:rsidR="00E8408D" w:rsidRPr="00E8408D">
        <w:rPr>
          <w:bCs/>
        </w:rPr>
        <w:t xml:space="preserve"> da, patojenlerin bir kısmı, periodontal dokuların içine</w:t>
      </w:r>
      <w:r w:rsidR="00E8408D">
        <w:rPr>
          <w:bCs/>
        </w:rPr>
        <w:t xml:space="preserve"> </w:t>
      </w:r>
      <w:r w:rsidR="006C44F8">
        <w:rPr>
          <w:bCs/>
        </w:rPr>
        <w:t>işleyebilme</w:t>
      </w:r>
      <w:r w:rsidR="00E8408D" w:rsidRPr="00E8408D">
        <w:rPr>
          <w:bCs/>
        </w:rPr>
        <w:t xml:space="preserve"> yetenekleri veya periodontal aletlerin</w:t>
      </w:r>
      <w:r w:rsidR="00E8408D">
        <w:rPr>
          <w:bCs/>
        </w:rPr>
        <w:t xml:space="preserve"> </w:t>
      </w:r>
      <w:r w:rsidR="00E8408D" w:rsidRPr="00E8408D">
        <w:rPr>
          <w:bCs/>
        </w:rPr>
        <w:t>ulaşamayacağı yerlerde bulunmaları nedeniyle</w:t>
      </w:r>
      <w:r w:rsidR="00E8408D">
        <w:rPr>
          <w:bCs/>
        </w:rPr>
        <w:t xml:space="preserve"> </w:t>
      </w:r>
      <w:r w:rsidR="00E8408D" w:rsidRPr="00E8408D">
        <w:rPr>
          <w:bCs/>
        </w:rPr>
        <w:t xml:space="preserve">tedaviden </w:t>
      </w:r>
      <w:r w:rsidR="006C44F8">
        <w:rPr>
          <w:bCs/>
        </w:rPr>
        <w:t>etkilenmeyip</w:t>
      </w:r>
      <w:r w:rsidR="00E8408D" w:rsidRPr="00E8408D">
        <w:rPr>
          <w:bCs/>
        </w:rPr>
        <w:t xml:space="preserve"> subgingival bölgede kolonize</w:t>
      </w:r>
      <w:r w:rsidR="00E8408D">
        <w:rPr>
          <w:bCs/>
        </w:rPr>
        <w:t xml:space="preserve"> </w:t>
      </w:r>
      <w:r w:rsidR="00E8408D" w:rsidRPr="00E8408D">
        <w:rPr>
          <w:bCs/>
        </w:rPr>
        <w:t>olabilir ve hastalık</w:t>
      </w:r>
      <w:r w:rsidR="006C44F8">
        <w:rPr>
          <w:bCs/>
        </w:rPr>
        <w:t>ta nüks</w:t>
      </w:r>
      <w:r w:rsidR="00E8408D" w:rsidRPr="00E8408D">
        <w:rPr>
          <w:bCs/>
        </w:rPr>
        <w:t xml:space="preserve"> için risk oluşturabilirler.</w:t>
      </w:r>
    </w:p>
    <w:p w:rsidR="00D64439" w:rsidRDefault="00175641" w:rsidP="00374C9E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Aslında, geride k</w:t>
      </w:r>
      <w:r w:rsidR="00E8408D" w:rsidRPr="00E8408D">
        <w:rPr>
          <w:bCs/>
        </w:rPr>
        <w:t xml:space="preserve">üçük miktarlarda </w:t>
      </w:r>
      <w:r w:rsidR="00817E73">
        <w:rPr>
          <w:bCs/>
        </w:rPr>
        <w:t>olası</w:t>
      </w:r>
      <w:r w:rsidR="00E8408D" w:rsidRPr="00E8408D">
        <w:rPr>
          <w:bCs/>
        </w:rPr>
        <w:t xml:space="preserve"> perio</w:t>
      </w:r>
      <w:r>
        <w:rPr>
          <w:bCs/>
        </w:rPr>
        <w:t>-</w:t>
      </w:r>
      <w:r w:rsidR="00E8408D" w:rsidRPr="00E8408D">
        <w:rPr>
          <w:bCs/>
        </w:rPr>
        <w:t>pato</w:t>
      </w:r>
      <w:r w:rsidR="00E8408D">
        <w:rPr>
          <w:bCs/>
        </w:rPr>
        <w:t>j</w:t>
      </w:r>
      <w:r w:rsidR="00E8408D" w:rsidRPr="00E8408D">
        <w:rPr>
          <w:bCs/>
        </w:rPr>
        <w:t>enl</w:t>
      </w:r>
      <w:r w:rsidR="00E8408D">
        <w:rPr>
          <w:bCs/>
        </w:rPr>
        <w:t>e</w:t>
      </w:r>
      <w:r w:rsidR="00E8408D" w:rsidRPr="00E8408D">
        <w:rPr>
          <w:bCs/>
        </w:rPr>
        <w:t>rin kalması dokularca tolere</w:t>
      </w:r>
      <w:r w:rsidR="00E8408D">
        <w:rPr>
          <w:bCs/>
        </w:rPr>
        <w:t xml:space="preserve"> </w:t>
      </w:r>
      <w:r w:rsidR="00E8408D" w:rsidRPr="00E8408D">
        <w:rPr>
          <w:bCs/>
        </w:rPr>
        <w:t>edilebilir</w:t>
      </w:r>
      <w:r>
        <w:rPr>
          <w:bCs/>
        </w:rPr>
        <w:t xml:space="preserve">. Ama </w:t>
      </w:r>
      <w:r w:rsidR="00E8408D" w:rsidRPr="00E8408D">
        <w:rPr>
          <w:bCs/>
        </w:rPr>
        <w:t xml:space="preserve">mikroorganizmaların </w:t>
      </w:r>
      <w:proofErr w:type="gramStart"/>
      <w:r w:rsidR="00E8408D" w:rsidRPr="00E8408D">
        <w:rPr>
          <w:bCs/>
        </w:rPr>
        <w:t>eliminasyonu</w:t>
      </w:r>
      <w:r w:rsidR="00E8408D">
        <w:rPr>
          <w:bCs/>
        </w:rPr>
        <w:t>nda</w:t>
      </w:r>
      <w:proofErr w:type="gramEnd"/>
      <w:r w:rsidR="00E8408D" w:rsidRPr="00E8408D">
        <w:rPr>
          <w:bCs/>
        </w:rPr>
        <w:t xml:space="preserve"> yetersiz</w:t>
      </w:r>
      <w:r w:rsidR="00E8408D">
        <w:rPr>
          <w:bCs/>
        </w:rPr>
        <w:t>lik</w:t>
      </w:r>
      <w:r w:rsidR="00E8408D" w:rsidRPr="00E8408D">
        <w:rPr>
          <w:bCs/>
        </w:rPr>
        <w:t xml:space="preserve">, </w:t>
      </w:r>
      <w:r>
        <w:rPr>
          <w:bCs/>
        </w:rPr>
        <w:t xml:space="preserve">tedavide başarısızlığa ve nükse yol açabilecek </w:t>
      </w:r>
      <w:r w:rsidR="00E8408D" w:rsidRPr="00E8408D">
        <w:rPr>
          <w:bCs/>
        </w:rPr>
        <w:t xml:space="preserve">biyolojik bir </w:t>
      </w:r>
      <w:r>
        <w:rPr>
          <w:bCs/>
        </w:rPr>
        <w:t>etken</w:t>
      </w:r>
      <w:r w:rsidR="00E8408D" w:rsidRPr="00E8408D">
        <w:rPr>
          <w:bCs/>
        </w:rPr>
        <w:t xml:space="preserve"> olarak düşünülmelidir.</w:t>
      </w:r>
      <w:r w:rsidR="00E8408D">
        <w:rPr>
          <w:bCs/>
        </w:rPr>
        <w:t xml:space="preserve"> </w:t>
      </w:r>
      <w:r w:rsidR="00E8408D" w:rsidRPr="00E8408D">
        <w:rPr>
          <w:bCs/>
        </w:rPr>
        <w:t xml:space="preserve">Bu nedenle, antimikrobiyal ajanların </w:t>
      </w:r>
      <w:r w:rsidRPr="00E8408D">
        <w:rPr>
          <w:bCs/>
        </w:rPr>
        <w:t>periodontal tedavi</w:t>
      </w:r>
      <w:r>
        <w:rPr>
          <w:bCs/>
        </w:rPr>
        <w:t>ye</w:t>
      </w:r>
      <w:r w:rsidRPr="00E8408D">
        <w:rPr>
          <w:bCs/>
        </w:rPr>
        <w:t xml:space="preserve"> </w:t>
      </w:r>
      <w:r w:rsidR="00E8408D" w:rsidRPr="00E8408D">
        <w:rPr>
          <w:bCs/>
        </w:rPr>
        <w:t>destek</w:t>
      </w:r>
      <w:r>
        <w:rPr>
          <w:bCs/>
        </w:rPr>
        <w:t xml:space="preserve"> olarak</w:t>
      </w:r>
      <w:r w:rsidR="00E8408D" w:rsidRPr="00E8408D">
        <w:rPr>
          <w:bCs/>
        </w:rPr>
        <w:t xml:space="preserve"> kullanımı, mekanik</w:t>
      </w:r>
      <w:r w:rsidR="00E8408D">
        <w:rPr>
          <w:bCs/>
        </w:rPr>
        <w:t xml:space="preserve"> </w:t>
      </w:r>
      <w:r>
        <w:rPr>
          <w:bCs/>
        </w:rPr>
        <w:t>işlemlerin</w:t>
      </w:r>
      <w:r w:rsidR="00E8408D" w:rsidRPr="00E8408D">
        <w:rPr>
          <w:bCs/>
        </w:rPr>
        <w:t xml:space="preserve"> etkilerini arttırabilir veya cerrahiye</w:t>
      </w:r>
      <w:r w:rsidR="00E8408D">
        <w:rPr>
          <w:bCs/>
        </w:rPr>
        <w:t xml:space="preserve"> </w:t>
      </w:r>
      <w:r w:rsidR="00E8408D" w:rsidRPr="00E8408D">
        <w:rPr>
          <w:bCs/>
        </w:rPr>
        <w:t>gereksinim duyan diş sayısını azaltabilir. Bu olgularda</w:t>
      </w:r>
      <w:r w:rsidR="00E8408D">
        <w:rPr>
          <w:bCs/>
        </w:rPr>
        <w:t xml:space="preserve"> </w:t>
      </w:r>
      <w:r w:rsidR="00E8408D" w:rsidRPr="00E8408D">
        <w:rPr>
          <w:bCs/>
        </w:rPr>
        <w:t xml:space="preserve">sistemik veya </w:t>
      </w:r>
      <w:proofErr w:type="gramStart"/>
      <w:r w:rsidR="00E8408D" w:rsidRPr="00E8408D">
        <w:rPr>
          <w:bCs/>
        </w:rPr>
        <w:t>lokal</w:t>
      </w:r>
      <w:proofErr w:type="gramEnd"/>
      <w:r w:rsidR="00E8408D" w:rsidRPr="00E8408D">
        <w:rPr>
          <w:bCs/>
        </w:rPr>
        <w:t xml:space="preserve"> olarak uygulanan</w:t>
      </w:r>
      <w:r w:rsidR="00E8408D">
        <w:rPr>
          <w:bCs/>
        </w:rPr>
        <w:t xml:space="preserve"> a</w:t>
      </w:r>
      <w:r w:rsidR="00E8408D" w:rsidRPr="00E8408D">
        <w:rPr>
          <w:bCs/>
        </w:rPr>
        <w:t>ntibiyotikler,</w:t>
      </w:r>
      <w:r w:rsidR="00E8408D">
        <w:rPr>
          <w:bCs/>
        </w:rPr>
        <w:t xml:space="preserve"> </w:t>
      </w:r>
      <w:r w:rsidR="00E8408D" w:rsidRPr="00E8408D">
        <w:rPr>
          <w:bCs/>
        </w:rPr>
        <w:t>günümüzde mekanik tedaviye destek</w:t>
      </w:r>
      <w:r w:rsidR="00E8408D">
        <w:rPr>
          <w:bCs/>
        </w:rPr>
        <w:t xml:space="preserve"> </w:t>
      </w:r>
      <w:r w:rsidR="00E8408D" w:rsidRPr="00E8408D">
        <w:rPr>
          <w:bCs/>
        </w:rPr>
        <w:t>olarak görülmekte ve kullanılmaktadır.</w:t>
      </w:r>
    </w:p>
    <w:p w:rsidR="00A53F8D" w:rsidRDefault="00605857" w:rsidP="00374C9E">
      <w:pPr>
        <w:tabs>
          <w:tab w:val="num" w:pos="720"/>
        </w:tabs>
        <w:spacing w:after="0" w:line="240" w:lineRule="auto"/>
        <w:rPr>
          <w:bCs/>
        </w:rPr>
      </w:pPr>
      <w:r w:rsidRPr="00605857">
        <w:rPr>
          <w:bCs/>
        </w:rPr>
        <w:t xml:space="preserve">Kemoterapötik ajan, </w:t>
      </w:r>
      <w:r w:rsidR="00CD7BAA">
        <w:rPr>
          <w:bCs/>
        </w:rPr>
        <w:t>klinik tedavide</w:t>
      </w:r>
      <w:r w:rsidRPr="00605857">
        <w:rPr>
          <w:bCs/>
        </w:rPr>
        <w:t xml:space="preserve"> fayda sağlama yeteneği olan aktif kimyasal bir maddey</w:t>
      </w:r>
      <w:r w:rsidR="00CD7BAA">
        <w:rPr>
          <w:bCs/>
        </w:rPr>
        <w:t xml:space="preserve">e denir. Kinik fayda antimikrobiyal işlev veya konak direncinin kuvvetlendirilmesi yönünde olabilir. </w:t>
      </w:r>
    </w:p>
    <w:p w:rsidR="00A53F8D" w:rsidRDefault="00A53F8D" w:rsidP="00374C9E">
      <w:pPr>
        <w:tabs>
          <w:tab w:val="num" w:pos="720"/>
        </w:tabs>
        <w:spacing w:after="0" w:line="240" w:lineRule="auto"/>
        <w:rPr>
          <w:bCs/>
        </w:rPr>
      </w:pPr>
    </w:p>
    <w:p w:rsidR="00092608" w:rsidRDefault="00605857" w:rsidP="00374C9E">
      <w:pPr>
        <w:tabs>
          <w:tab w:val="num" w:pos="720"/>
        </w:tabs>
        <w:spacing w:after="0" w:line="240" w:lineRule="auto"/>
        <w:rPr>
          <w:bCs/>
        </w:rPr>
      </w:pPr>
      <w:r w:rsidRPr="00092608">
        <w:rPr>
          <w:b/>
          <w:bCs/>
        </w:rPr>
        <w:t>Antibiyotikler</w:t>
      </w:r>
      <w:r w:rsidR="00CD7BAA">
        <w:rPr>
          <w:bCs/>
        </w:rPr>
        <w:t>;</w:t>
      </w:r>
      <w:r w:rsidR="009B7B6F">
        <w:rPr>
          <w:bCs/>
        </w:rPr>
        <w:t xml:space="preserve"> </w:t>
      </w:r>
      <w:r w:rsidRPr="00605857">
        <w:rPr>
          <w:bCs/>
        </w:rPr>
        <w:t>mikroorganizmaları öldürebilme veya büyümelerini inhibe etme kapasitesine sahip</w:t>
      </w:r>
      <w:r w:rsidR="009B7B6F">
        <w:rPr>
          <w:bCs/>
        </w:rPr>
        <w:t xml:space="preserve">, </w:t>
      </w:r>
      <w:r w:rsidRPr="00605857">
        <w:rPr>
          <w:bCs/>
        </w:rPr>
        <w:t xml:space="preserve">mikroorganizmaların bizzat ürettiği veya onlardan elde edilen </w:t>
      </w:r>
      <w:r w:rsidR="009A32A1">
        <w:rPr>
          <w:bCs/>
        </w:rPr>
        <w:t>maddelerdir</w:t>
      </w:r>
      <w:r w:rsidRPr="00605857">
        <w:rPr>
          <w:bCs/>
        </w:rPr>
        <w:t>.</w:t>
      </w:r>
    </w:p>
    <w:p w:rsidR="00092608" w:rsidRPr="00092608" w:rsidRDefault="00092608" w:rsidP="00374C9E">
      <w:pPr>
        <w:tabs>
          <w:tab w:val="num" w:pos="720"/>
        </w:tabs>
        <w:spacing w:after="0" w:line="240" w:lineRule="auto"/>
        <w:rPr>
          <w:bCs/>
        </w:rPr>
      </w:pPr>
      <w:r w:rsidRPr="00092608">
        <w:rPr>
          <w:bCs/>
        </w:rPr>
        <w:t xml:space="preserve">Periodontal tedavide kullanılacak ideal bir </w:t>
      </w:r>
      <w:r w:rsidR="00A53F8D" w:rsidRPr="00092608">
        <w:rPr>
          <w:bCs/>
        </w:rPr>
        <w:t>antibiyotik;</w:t>
      </w:r>
      <w:r w:rsidRPr="00092608">
        <w:rPr>
          <w:bCs/>
        </w:rPr>
        <w:t xml:space="preserve"> </w:t>
      </w:r>
    </w:p>
    <w:p w:rsidR="00092608" w:rsidRPr="00092608" w:rsidRDefault="00092608" w:rsidP="00374C9E">
      <w:pPr>
        <w:pStyle w:val="ListeParagraf"/>
        <w:numPr>
          <w:ilvl w:val="0"/>
          <w:numId w:val="2"/>
        </w:numPr>
        <w:tabs>
          <w:tab w:val="num" w:pos="720"/>
        </w:tabs>
        <w:spacing w:after="0" w:line="240" w:lineRule="auto"/>
        <w:rPr>
          <w:bCs/>
        </w:rPr>
      </w:pPr>
      <w:r w:rsidRPr="00092608">
        <w:rPr>
          <w:bCs/>
        </w:rPr>
        <w:t xml:space="preserve">Allojenik ve nontoksik </w:t>
      </w:r>
    </w:p>
    <w:p w:rsidR="00092608" w:rsidRPr="00092608" w:rsidRDefault="00092608" w:rsidP="00374C9E">
      <w:pPr>
        <w:pStyle w:val="ListeParagraf"/>
        <w:numPr>
          <w:ilvl w:val="0"/>
          <w:numId w:val="2"/>
        </w:numPr>
        <w:tabs>
          <w:tab w:val="num" w:pos="720"/>
        </w:tabs>
        <w:spacing w:after="0" w:line="240" w:lineRule="auto"/>
        <w:rPr>
          <w:bCs/>
        </w:rPr>
      </w:pPr>
      <w:r w:rsidRPr="00092608">
        <w:rPr>
          <w:bCs/>
        </w:rPr>
        <w:t>Spesifik</w:t>
      </w:r>
    </w:p>
    <w:p w:rsidR="00A406B7" w:rsidRDefault="00092608" w:rsidP="00374C9E">
      <w:pPr>
        <w:pStyle w:val="ListeParagraf"/>
        <w:numPr>
          <w:ilvl w:val="0"/>
          <w:numId w:val="2"/>
        </w:numPr>
        <w:tabs>
          <w:tab w:val="num" w:pos="720"/>
        </w:tabs>
        <w:spacing w:after="0" w:line="240" w:lineRule="auto"/>
        <w:rPr>
          <w:bCs/>
        </w:rPr>
      </w:pPr>
      <w:r w:rsidRPr="00092608">
        <w:rPr>
          <w:bCs/>
        </w:rPr>
        <w:t xml:space="preserve">Yan etkisi </w:t>
      </w:r>
      <w:r w:rsidR="00A406B7">
        <w:rPr>
          <w:bCs/>
        </w:rPr>
        <w:t>az</w:t>
      </w:r>
    </w:p>
    <w:p w:rsidR="00092608" w:rsidRDefault="00A406B7" w:rsidP="00374C9E">
      <w:pPr>
        <w:pStyle w:val="ListeParagraf"/>
        <w:numPr>
          <w:ilvl w:val="0"/>
          <w:numId w:val="2"/>
        </w:numPr>
        <w:tabs>
          <w:tab w:val="num" w:pos="720"/>
        </w:tabs>
        <w:spacing w:after="0" w:line="240" w:lineRule="auto"/>
        <w:rPr>
          <w:bCs/>
        </w:rPr>
      </w:pPr>
      <w:r>
        <w:rPr>
          <w:bCs/>
        </w:rPr>
        <w:t>U</w:t>
      </w:r>
      <w:r w:rsidR="00092608" w:rsidRPr="00092608">
        <w:rPr>
          <w:bCs/>
        </w:rPr>
        <w:t>cuz olmalıdır</w:t>
      </w:r>
    </w:p>
    <w:p w:rsidR="00A53F8D" w:rsidRPr="00A53F8D" w:rsidRDefault="00A53F8D" w:rsidP="00A53F8D">
      <w:pPr>
        <w:tabs>
          <w:tab w:val="num" w:pos="720"/>
        </w:tabs>
        <w:spacing w:after="0" w:line="240" w:lineRule="auto"/>
        <w:ind w:left="360"/>
        <w:rPr>
          <w:bCs/>
        </w:rPr>
      </w:pPr>
    </w:p>
    <w:p w:rsidR="009B028F" w:rsidRDefault="009B7B6F" w:rsidP="00C41D8D">
      <w:pPr>
        <w:tabs>
          <w:tab w:val="num" w:pos="720"/>
        </w:tabs>
        <w:spacing w:line="240" w:lineRule="auto"/>
        <w:rPr>
          <w:bCs/>
        </w:rPr>
      </w:pPr>
      <w:r>
        <w:rPr>
          <w:bCs/>
        </w:rPr>
        <w:t xml:space="preserve">Kemoterapötik ajanlar </w:t>
      </w:r>
      <w:proofErr w:type="gramStart"/>
      <w:r>
        <w:rPr>
          <w:bCs/>
        </w:rPr>
        <w:t>lokal</w:t>
      </w:r>
      <w:proofErr w:type="gramEnd"/>
      <w:r>
        <w:rPr>
          <w:bCs/>
        </w:rPr>
        <w:t xml:space="preserve"> veya sistemik olarak kullanılırlar.</w:t>
      </w:r>
    </w:p>
    <w:p w:rsidR="009A32A1" w:rsidRDefault="009B7B6F" w:rsidP="009B028F">
      <w:pPr>
        <w:tabs>
          <w:tab w:val="num" w:pos="720"/>
        </w:tabs>
        <w:spacing w:line="240" w:lineRule="auto"/>
        <w:rPr>
          <w:bCs/>
        </w:rPr>
      </w:pPr>
      <w:r w:rsidRPr="001E2B15">
        <w:rPr>
          <w:b/>
          <w:bCs/>
          <w:i/>
        </w:rPr>
        <w:t>Lokal</w:t>
      </w:r>
      <w:r>
        <w:rPr>
          <w:bCs/>
        </w:rPr>
        <w:t xml:space="preserve"> uygulamada; </w:t>
      </w:r>
      <w:r w:rsidR="009A32A1">
        <w:rPr>
          <w:bCs/>
        </w:rPr>
        <w:t xml:space="preserve">cep içerisinde </w:t>
      </w:r>
      <w:r>
        <w:rPr>
          <w:bCs/>
        </w:rPr>
        <w:t xml:space="preserve">direk olarak yüksek </w:t>
      </w:r>
      <w:proofErr w:type="gramStart"/>
      <w:r>
        <w:rPr>
          <w:bCs/>
        </w:rPr>
        <w:t>konsantrasyon</w:t>
      </w:r>
      <w:proofErr w:type="gramEnd"/>
      <w:r>
        <w:rPr>
          <w:bCs/>
        </w:rPr>
        <w:t xml:space="preserve"> elde edilir. Böylece, </w:t>
      </w:r>
      <w:r w:rsidR="009A32A1">
        <w:rPr>
          <w:bCs/>
        </w:rPr>
        <w:t xml:space="preserve">sistemik yan etkiye neden olmadan </w:t>
      </w:r>
      <w:r>
        <w:rPr>
          <w:bCs/>
        </w:rPr>
        <w:t xml:space="preserve">bakteri </w:t>
      </w:r>
      <w:proofErr w:type="gramStart"/>
      <w:r>
        <w:rPr>
          <w:bCs/>
        </w:rPr>
        <w:t>popülasyonunu</w:t>
      </w:r>
      <w:proofErr w:type="gramEnd"/>
      <w:r>
        <w:rPr>
          <w:bCs/>
        </w:rPr>
        <w:t xml:space="preserve"> azalt</w:t>
      </w:r>
      <w:r w:rsidR="009A32A1">
        <w:rPr>
          <w:bCs/>
        </w:rPr>
        <w:t>ılır.</w:t>
      </w:r>
    </w:p>
    <w:p w:rsidR="009B028F" w:rsidRDefault="009B7B6F" w:rsidP="009B028F">
      <w:pPr>
        <w:tabs>
          <w:tab w:val="num" w:pos="720"/>
        </w:tabs>
        <w:spacing w:line="240" w:lineRule="auto"/>
        <w:rPr>
          <w:bCs/>
        </w:rPr>
      </w:pPr>
      <w:r>
        <w:rPr>
          <w:bCs/>
        </w:rPr>
        <w:t>Mekanik tedavi ile istenilen sonuca varılamadığı durumlarda sistemik antibiyotik verilebilir.</w:t>
      </w:r>
    </w:p>
    <w:p w:rsidR="009B028F" w:rsidRDefault="009A32A1" w:rsidP="009B028F">
      <w:pPr>
        <w:tabs>
          <w:tab w:val="num" w:pos="720"/>
        </w:tabs>
        <w:spacing w:line="240" w:lineRule="auto"/>
      </w:pPr>
      <w:r w:rsidRPr="009A32A1">
        <w:t>Periodontolojide</w:t>
      </w:r>
      <w:r>
        <w:t xml:space="preserve"> üç durumda antibiyotikler </w:t>
      </w:r>
      <w:r w:rsidR="007D666C" w:rsidRPr="001E2B15">
        <w:rPr>
          <w:b/>
          <w:i/>
        </w:rPr>
        <w:t>Sistemik</w:t>
      </w:r>
      <w:r w:rsidR="007D666C" w:rsidRPr="007D666C">
        <w:t xml:space="preserve"> </w:t>
      </w:r>
      <w:r>
        <w:t>olarak</w:t>
      </w:r>
      <w:r w:rsidR="00CC206A">
        <w:t xml:space="preserve"> kullanı</w:t>
      </w:r>
      <w:r>
        <w:t>lırlar</w:t>
      </w:r>
      <w:r w:rsidR="009B028F">
        <w:t>.</w:t>
      </w:r>
    </w:p>
    <w:p w:rsidR="009B028F" w:rsidRDefault="00CC206A" w:rsidP="009B028F">
      <w:pPr>
        <w:pStyle w:val="ListeParagraf"/>
        <w:numPr>
          <w:ilvl w:val="0"/>
          <w:numId w:val="9"/>
        </w:numPr>
        <w:tabs>
          <w:tab w:val="num" w:pos="720"/>
        </w:tabs>
        <w:spacing w:after="0" w:line="240" w:lineRule="auto"/>
      </w:pPr>
      <w:r>
        <w:t>A</w:t>
      </w:r>
      <w:r w:rsidR="00305907" w:rsidRPr="007D666C">
        <w:t>kut periodontal hastalıklar</w:t>
      </w:r>
    </w:p>
    <w:p w:rsidR="009B028F" w:rsidRDefault="009B028F" w:rsidP="009B028F">
      <w:pPr>
        <w:pStyle w:val="ListeParagraf"/>
        <w:numPr>
          <w:ilvl w:val="0"/>
          <w:numId w:val="9"/>
        </w:numPr>
        <w:tabs>
          <w:tab w:val="num" w:pos="720"/>
        </w:tabs>
        <w:spacing w:after="0" w:line="240" w:lineRule="auto"/>
      </w:pPr>
      <w:r>
        <w:t>T</w:t>
      </w:r>
      <w:r w:rsidR="00305907" w:rsidRPr="007D666C">
        <w:t>ek başına geleneksel mekanik tedaviye cevap vermeyen periodontal hastalıklar</w:t>
      </w:r>
    </w:p>
    <w:p w:rsidR="00092608" w:rsidRDefault="009B028F" w:rsidP="009B028F">
      <w:pPr>
        <w:pStyle w:val="ListeParagraf"/>
        <w:numPr>
          <w:ilvl w:val="0"/>
          <w:numId w:val="9"/>
        </w:numPr>
        <w:tabs>
          <w:tab w:val="num" w:pos="720"/>
        </w:tabs>
        <w:spacing w:line="240" w:lineRule="auto"/>
      </w:pPr>
      <w:r>
        <w:t>S</w:t>
      </w:r>
      <w:r w:rsidR="00305907" w:rsidRPr="007D666C">
        <w:t>istemik hastalığı ola</w:t>
      </w:r>
      <w:r>
        <w:t>n kişilerde profilaksi</w:t>
      </w:r>
      <w:r w:rsidR="00374C9E">
        <w:t xml:space="preserve"> </w:t>
      </w:r>
    </w:p>
    <w:p w:rsidR="00605857" w:rsidRDefault="00A53F8D" w:rsidP="00374C9E">
      <w:pPr>
        <w:tabs>
          <w:tab w:val="num" w:pos="720"/>
        </w:tabs>
        <w:spacing w:line="240" w:lineRule="auto"/>
      </w:pPr>
      <w:r>
        <w:t>Sistemik a</w:t>
      </w:r>
      <w:r w:rsidR="007D666C" w:rsidRPr="007D666C">
        <w:t>ntibiyotikler topikal kullanılan antimikrobiyal ajanlara göre çeşitli avantajlara sahiptir</w:t>
      </w:r>
      <w:r>
        <w:t>.</w:t>
      </w:r>
      <w:r w:rsidR="00735E35">
        <w:t xml:space="preserve"> </w:t>
      </w:r>
      <w:r w:rsidR="007D666C" w:rsidRPr="007D666C">
        <w:t>Seruma karıştıkları için derin cep tabanlarına, furkasyon bölgelerine ve gingival epitel ve bağ dokusuna ulaşabilirler. Keza</w:t>
      </w:r>
      <w:r>
        <w:t>,</w:t>
      </w:r>
      <w:r w:rsidR="007D666C" w:rsidRPr="007D666C">
        <w:t xml:space="preserve"> sistemik antibiyotikler oral mukoza ve diğer </w:t>
      </w:r>
      <w:r w:rsidR="009A32A1">
        <w:t>dokulardaki</w:t>
      </w:r>
      <w:r w:rsidR="007D666C" w:rsidRPr="007D666C">
        <w:t xml:space="preserve"> periodontal patojenleri </w:t>
      </w:r>
      <w:r w:rsidR="009A32A1">
        <w:t xml:space="preserve">de </w:t>
      </w:r>
      <w:r w:rsidR="007D666C" w:rsidRPr="007D666C">
        <w:t>etkileme kapasitesine sahiptirler. Böylece</w:t>
      </w:r>
      <w:r w:rsidR="009A32A1">
        <w:t>,</w:t>
      </w:r>
      <w:r w:rsidR="007D666C" w:rsidRPr="007D666C">
        <w:t xml:space="preserve"> ağızdaki patojenleri elimine </w:t>
      </w:r>
      <w:r w:rsidR="00735E35">
        <w:t>edip baskılarken,</w:t>
      </w:r>
      <w:r w:rsidR="007D666C" w:rsidRPr="007D666C">
        <w:t xml:space="preserve"> gelecekte periodontal ceplerde </w:t>
      </w:r>
      <w:r w:rsidR="009A32A1">
        <w:t xml:space="preserve">tekrar kolonize olmalarını ve </w:t>
      </w:r>
      <w:proofErr w:type="spellStart"/>
      <w:r w:rsidR="009A32A1">
        <w:t>rekkürensi</w:t>
      </w:r>
      <w:proofErr w:type="spellEnd"/>
      <w:r w:rsidR="009A32A1">
        <w:t xml:space="preserve"> de engellemiş olurlar.</w:t>
      </w:r>
      <w:r w:rsidR="007D666C" w:rsidRPr="007D666C">
        <w:t xml:space="preserve"> Ayrıca</w:t>
      </w:r>
      <w:r w:rsidR="00735E35">
        <w:t>,</w:t>
      </w:r>
      <w:r w:rsidR="007D666C" w:rsidRPr="007D666C">
        <w:t xml:space="preserve"> </w:t>
      </w:r>
      <w:r w:rsidR="00735E35" w:rsidRPr="007D666C">
        <w:t xml:space="preserve">hasta için </w:t>
      </w:r>
      <w:r w:rsidR="007D666C" w:rsidRPr="007D666C">
        <w:t>sistemik antibiyotik tedavisi daha ucuz</w:t>
      </w:r>
      <w:r w:rsidR="00735E35">
        <w:t xml:space="preserve"> bir yöntemdir</w:t>
      </w:r>
      <w:r w:rsidR="007D666C" w:rsidRPr="007D666C">
        <w:t>. Dezavantajları</w:t>
      </w:r>
      <w:r w:rsidR="00F90F80">
        <w:t xml:space="preserve"> ise;</w:t>
      </w:r>
      <w:r w:rsidR="007D666C" w:rsidRPr="007D666C">
        <w:t xml:space="preserve"> İstenmeyen yan etkilerin oluşması ve rezistans geliştirmeleridir. </w:t>
      </w:r>
    </w:p>
    <w:p w:rsidR="00C41D8D" w:rsidRDefault="00C41D8D" w:rsidP="00374C9E">
      <w:pPr>
        <w:tabs>
          <w:tab w:val="num" w:pos="720"/>
        </w:tabs>
        <w:spacing w:after="0" w:line="240" w:lineRule="auto"/>
        <w:rPr>
          <w:b/>
          <w:bCs/>
        </w:rPr>
      </w:pPr>
    </w:p>
    <w:p w:rsidR="00C41D8D" w:rsidRDefault="00C41D8D" w:rsidP="00374C9E">
      <w:pPr>
        <w:tabs>
          <w:tab w:val="num" w:pos="720"/>
        </w:tabs>
        <w:spacing w:after="0" w:line="240" w:lineRule="auto"/>
        <w:rPr>
          <w:b/>
          <w:bCs/>
        </w:rPr>
      </w:pPr>
    </w:p>
    <w:p w:rsidR="00C34AC6" w:rsidRPr="00FD44C5" w:rsidRDefault="00C34AC6" w:rsidP="00374C9E">
      <w:pPr>
        <w:tabs>
          <w:tab w:val="num" w:pos="720"/>
        </w:tabs>
        <w:spacing w:after="0" w:line="240" w:lineRule="auto"/>
        <w:rPr>
          <w:b/>
          <w:bCs/>
        </w:rPr>
      </w:pPr>
      <w:r w:rsidRPr="00FD44C5">
        <w:rPr>
          <w:b/>
          <w:bCs/>
        </w:rPr>
        <w:t>Tetrasiklinler</w:t>
      </w:r>
    </w:p>
    <w:p w:rsidR="00FD44C5" w:rsidRDefault="009D42E7" w:rsidP="00374C9E">
      <w:pPr>
        <w:tabs>
          <w:tab w:val="num" w:pos="720"/>
        </w:tabs>
        <w:spacing w:line="240" w:lineRule="auto"/>
      </w:pPr>
      <w:r w:rsidRPr="009D42E7">
        <w:t>Bakteri ribozomlar</w:t>
      </w:r>
      <w:r>
        <w:t>ı</w:t>
      </w:r>
      <w:r w:rsidRPr="009D42E7">
        <w:t>n</w:t>
      </w:r>
      <w:r>
        <w:t>ı</w:t>
      </w:r>
      <w:r w:rsidRPr="009D42E7">
        <w:t>n 30S alt ünitesine ba</w:t>
      </w:r>
      <w:r>
        <w:t>ğ</w:t>
      </w:r>
      <w:r w:rsidRPr="009D42E7">
        <w:t>lan</w:t>
      </w:r>
      <w:r w:rsidR="00A53F8D">
        <w:t>ıp</w:t>
      </w:r>
      <w:r>
        <w:t xml:space="preserve"> </w:t>
      </w:r>
      <w:r w:rsidR="00FE76E6" w:rsidRPr="009D42E7">
        <w:t>aminoasit</w:t>
      </w:r>
      <w:r w:rsidRPr="009D42E7">
        <w:t xml:space="preserve"> t-RNA’n</w:t>
      </w:r>
      <w:r>
        <w:t>ı</w:t>
      </w:r>
      <w:r w:rsidRPr="009D42E7">
        <w:t>n ba</w:t>
      </w:r>
      <w:r>
        <w:t>ğ</w:t>
      </w:r>
      <w:r w:rsidRPr="009D42E7">
        <w:t>lanmas</w:t>
      </w:r>
      <w:r>
        <w:t>ı</w:t>
      </w:r>
      <w:r w:rsidRPr="009D42E7">
        <w:t>n</w:t>
      </w:r>
      <w:r>
        <w:t>ı</w:t>
      </w:r>
      <w:r w:rsidRPr="009D42E7">
        <w:t xml:space="preserve"> bloke ederek</w:t>
      </w:r>
      <w:r>
        <w:t xml:space="preserve"> </w:t>
      </w:r>
      <w:r w:rsidRPr="009D42E7">
        <w:t>protein sentezini inhibe ederler.</w:t>
      </w:r>
      <w:r>
        <w:t xml:space="preserve"> </w:t>
      </w:r>
      <w:r w:rsidR="00A53F8D" w:rsidRPr="009D42E7">
        <w:t>Bakteriostatik</w:t>
      </w:r>
      <w:r w:rsidRPr="009D42E7">
        <w:t xml:space="preserve"> etkilidirler.</w:t>
      </w:r>
      <w:r>
        <w:t xml:space="preserve"> </w:t>
      </w:r>
      <w:r w:rsidRPr="009D42E7">
        <w:t>En az selektif ve en geni</w:t>
      </w:r>
      <w:r>
        <w:t>ş</w:t>
      </w:r>
      <w:r w:rsidRPr="009D42E7">
        <w:t xml:space="preserve"> spektrumlu antibiyotiktirler.</w:t>
      </w:r>
      <w:r>
        <w:t xml:space="preserve"> </w:t>
      </w:r>
      <w:r w:rsidR="00FD44C5" w:rsidRPr="00FD44C5">
        <w:rPr>
          <w:bCs/>
        </w:rPr>
        <w:t>Son yıllarda yapılan araştırmalarda,</w:t>
      </w:r>
      <w:r w:rsidR="00FD44C5">
        <w:rPr>
          <w:bCs/>
        </w:rPr>
        <w:t xml:space="preserve"> </w:t>
      </w:r>
      <w:r w:rsidR="00FD44C5" w:rsidRPr="00FD44C5">
        <w:rPr>
          <w:bCs/>
        </w:rPr>
        <w:t xml:space="preserve">tetrasiklinlerin antimikrobiyal özelliklerinin </w:t>
      </w:r>
      <w:r w:rsidR="00800750">
        <w:rPr>
          <w:bCs/>
        </w:rPr>
        <w:t>yanı sıra</w:t>
      </w:r>
      <w:r w:rsidR="00FD44C5">
        <w:rPr>
          <w:bCs/>
        </w:rPr>
        <w:t xml:space="preserve"> </w:t>
      </w:r>
      <w:r w:rsidR="00FD44C5" w:rsidRPr="00FD44C5">
        <w:rPr>
          <w:bCs/>
        </w:rPr>
        <w:t xml:space="preserve">kollajen yapımını artıran ve </w:t>
      </w:r>
      <w:r w:rsidR="00800750" w:rsidRPr="00FD44C5">
        <w:rPr>
          <w:bCs/>
        </w:rPr>
        <w:t>kollajenaz</w:t>
      </w:r>
      <w:r w:rsidR="00FD44C5" w:rsidRPr="00FD44C5">
        <w:rPr>
          <w:bCs/>
        </w:rPr>
        <w:t xml:space="preserve"> enzimini inhibe</w:t>
      </w:r>
      <w:r w:rsidR="00FD44C5">
        <w:rPr>
          <w:bCs/>
        </w:rPr>
        <w:t xml:space="preserve"> </w:t>
      </w:r>
      <w:r w:rsidR="00FD44C5" w:rsidRPr="00FD44C5">
        <w:rPr>
          <w:bCs/>
        </w:rPr>
        <w:t xml:space="preserve">ederek </w:t>
      </w:r>
      <w:r w:rsidR="00800750" w:rsidRPr="00FD44C5">
        <w:rPr>
          <w:bCs/>
        </w:rPr>
        <w:t>kollajen</w:t>
      </w:r>
      <w:r w:rsidR="00FD44C5" w:rsidRPr="00FD44C5">
        <w:rPr>
          <w:bCs/>
        </w:rPr>
        <w:t xml:space="preserve"> yıkımını azaltan etkilerinin de olduğu saptanmıştır.</w:t>
      </w:r>
      <w:r w:rsidR="00FD44C5">
        <w:rPr>
          <w:bCs/>
        </w:rPr>
        <w:t xml:space="preserve"> </w:t>
      </w:r>
      <w:r w:rsidR="00800750">
        <w:rPr>
          <w:bCs/>
        </w:rPr>
        <w:t>Ö</w:t>
      </w:r>
      <w:r w:rsidR="00FD44C5" w:rsidRPr="00FD44C5">
        <w:rPr>
          <w:bCs/>
        </w:rPr>
        <w:t xml:space="preserve">zellikle </w:t>
      </w:r>
      <w:proofErr w:type="gramStart"/>
      <w:r w:rsidR="00800750">
        <w:rPr>
          <w:bCs/>
        </w:rPr>
        <w:t>agresif</w:t>
      </w:r>
      <w:proofErr w:type="gramEnd"/>
      <w:r w:rsidR="00FD44C5">
        <w:rPr>
          <w:bCs/>
        </w:rPr>
        <w:t xml:space="preserve"> </w:t>
      </w:r>
      <w:r w:rsidR="00FD44C5" w:rsidRPr="00FD44C5">
        <w:rPr>
          <w:bCs/>
        </w:rPr>
        <w:t xml:space="preserve">periodontitis tiplerinde baskın olan </w:t>
      </w:r>
      <w:proofErr w:type="spellStart"/>
      <w:r w:rsidR="009A32A1" w:rsidRPr="009A32A1">
        <w:rPr>
          <w:bCs/>
        </w:rPr>
        <w:t>Aggregatibacter</w:t>
      </w:r>
      <w:proofErr w:type="spellEnd"/>
      <w:r w:rsidR="009A32A1" w:rsidRPr="009A32A1">
        <w:rPr>
          <w:bCs/>
        </w:rPr>
        <w:t xml:space="preserve"> </w:t>
      </w:r>
      <w:proofErr w:type="spellStart"/>
      <w:r w:rsidR="00FD44C5" w:rsidRPr="00FD44C5">
        <w:rPr>
          <w:bCs/>
        </w:rPr>
        <w:t>actionomycetemcomitans</w:t>
      </w:r>
      <w:proofErr w:type="spellEnd"/>
      <w:r w:rsidR="00FD44C5" w:rsidRPr="00FD44C5">
        <w:rPr>
          <w:bCs/>
        </w:rPr>
        <w:t xml:space="preserve"> </w:t>
      </w:r>
      <w:r w:rsidR="00FD44C5">
        <w:rPr>
          <w:bCs/>
        </w:rPr>
        <w:t>(</w:t>
      </w:r>
      <w:proofErr w:type="spellStart"/>
      <w:r w:rsidR="00FD44C5">
        <w:rPr>
          <w:bCs/>
        </w:rPr>
        <w:t>Aa</w:t>
      </w:r>
      <w:proofErr w:type="spellEnd"/>
      <w:r w:rsidR="00FD44C5">
        <w:rPr>
          <w:bCs/>
        </w:rPr>
        <w:t>)</w:t>
      </w:r>
      <w:r w:rsidR="00DA4B74">
        <w:rPr>
          <w:bCs/>
        </w:rPr>
        <w:t xml:space="preserve"> </w:t>
      </w:r>
      <w:r w:rsidR="00FD44C5" w:rsidRPr="00FD44C5">
        <w:rPr>
          <w:bCs/>
        </w:rPr>
        <w:t>üzerinde etki</w:t>
      </w:r>
      <w:r w:rsidR="00800750">
        <w:rPr>
          <w:bCs/>
        </w:rPr>
        <w:t>li</w:t>
      </w:r>
      <w:r w:rsidR="00FD44C5" w:rsidRPr="00FD44C5">
        <w:rPr>
          <w:bCs/>
        </w:rPr>
        <w:t xml:space="preserve"> olması ve/veya dişeti oluğu sıvısında en yüksek düzeyde bulunması</w:t>
      </w:r>
      <w:r w:rsidR="00FD44C5">
        <w:rPr>
          <w:bCs/>
        </w:rPr>
        <w:t xml:space="preserve"> </w:t>
      </w:r>
      <w:r w:rsidR="00FD44C5" w:rsidRPr="00FD44C5">
        <w:rPr>
          <w:bCs/>
        </w:rPr>
        <w:t xml:space="preserve">gibi özellikleri nedeniyle </w:t>
      </w:r>
      <w:r w:rsidR="00FD44C5">
        <w:rPr>
          <w:bCs/>
        </w:rPr>
        <w:t>p</w:t>
      </w:r>
      <w:r w:rsidR="00FD44C5" w:rsidRPr="00FD44C5">
        <w:rPr>
          <w:bCs/>
        </w:rPr>
        <w:t>eriodontal tedavide</w:t>
      </w:r>
      <w:r w:rsidR="00FD44C5">
        <w:rPr>
          <w:bCs/>
        </w:rPr>
        <w:t xml:space="preserve"> </w:t>
      </w:r>
      <w:r w:rsidR="00800750">
        <w:rPr>
          <w:bCs/>
        </w:rPr>
        <w:t>yaygın olarak kullanılmaktadırlar.</w:t>
      </w:r>
      <w:r w:rsidR="00FD44C5">
        <w:rPr>
          <w:bCs/>
        </w:rPr>
        <w:t xml:space="preserve"> </w:t>
      </w:r>
      <w:r w:rsidR="00FD44C5" w:rsidRPr="00FD44C5">
        <w:rPr>
          <w:bCs/>
        </w:rPr>
        <w:t xml:space="preserve">1980’li yılların ikinci yarısından itibaren </w:t>
      </w:r>
      <w:r w:rsidR="00800750">
        <w:rPr>
          <w:bCs/>
        </w:rPr>
        <w:t>kollajen üzerindeki olumlu etkileri</w:t>
      </w:r>
      <w:r w:rsidR="00FD44C5" w:rsidRPr="00FD44C5">
        <w:rPr>
          <w:bCs/>
        </w:rPr>
        <w:t xml:space="preserve"> nedeniyle de ön plana çıkmış,</w:t>
      </w:r>
      <w:r w:rsidR="00FD44C5">
        <w:rPr>
          <w:bCs/>
        </w:rPr>
        <w:t xml:space="preserve"> </w:t>
      </w:r>
      <w:r w:rsidR="00FD44C5" w:rsidRPr="00FD44C5">
        <w:t xml:space="preserve">kronik </w:t>
      </w:r>
      <w:r w:rsidR="00FD44C5">
        <w:t>p</w:t>
      </w:r>
      <w:r w:rsidR="00FD44C5" w:rsidRPr="00FD44C5">
        <w:t xml:space="preserve">eriodontitisin cerrahi olmayan tedavisine </w:t>
      </w:r>
      <w:r w:rsidR="00800750">
        <w:t>yardımcı olarak kullanılmaya başlanmıştır.</w:t>
      </w:r>
      <w:r w:rsidR="00FD44C5" w:rsidRPr="00FD44C5">
        <w:t xml:space="preserve"> </w:t>
      </w:r>
      <w:r w:rsidR="001D04CB">
        <w:t xml:space="preserve">Ayrıca, </w:t>
      </w:r>
      <w:r w:rsidR="001D04CB" w:rsidRPr="00934A8B">
        <w:rPr>
          <w:bCs/>
        </w:rPr>
        <w:t xml:space="preserve">hastalıklı kök yüzeyini detoksifiye </w:t>
      </w:r>
      <w:r w:rsidR="001D04CB">
        <w:rPr>
          <w:bCs/>
        </w:rPr>
        <w:t>ettiğini gösteren araştırmalar da yayınlanmıştır.</w:t>
      </w:r>
      <w:r w:rsidR="001D04CB" w:rsidRPr="00934A8B">
        <w:rPr>
          <w:bCs/>
        </w:rPr>
        <w:t xml:space="preserve"> </w:t>
      </w:r>
      <w:r w:rsidR="00800750">
        <w:t>Daha sonra,</w:t>
      </w:r>
      <w:r w:rsidR="00FD44C5" w:rsidRPr="00FD44C5">
        <w:t xml:space="preserve"> kimyasal yapısı</w:t>
      </w:r>
      <w:r w:rsidR="00800750">
        <w:t xml:space="preserve"> </w:t>
      </w:r>
      <w:r w:rsidR="00FD44C5" w:rsidRPr="00FD44C5">
        <w:t>değiştirilerek özel tetrasiklin preparatları üretilmiş</w:t>
      </w:r>
      <w:r w:rsidR="00800750">
        <w:t>tir.</w:t>
      </w:r>
      <w:r w:rsidR="00305907">
        <w:t xml:space="preserve"> Diğer özellikleri ile birlikte toparlanıp özetlenecek olunursa; </w:t>
      </w:r>
    </w:p>
    <w:p w:rsidR="00305907" w:rsidRPr="00305907" w:rsidRDefault="00305907" w:rsidP="00374C9E">
      <w:pPr>
        <w:tabs>
          <w:tab w:val="num" w:pos="720"/>
        </w:tabs>
        <w:spacing w:after="0" w:line="240" w:lineRule="auto"/>
      </w:pPr>
      <w:r w:rsidRPr="00305907">
        <w:rPr>
          <w:bCs/>
        </w:rPr>
        <w:t>1.Aa’ya etkilidir.</w:t>
      </w:r>
    </w:p>
    <w:p w:rsidR="00305907" w:rsidRPr="00305907" w:rsidRDefault="00305907" w:rsidP="00374C9E">
      <w:pPr>
        <w:tabs>
          <w:tab w:val="num" w:pos="720"/>
        </w:tabs>
        <w:spacing w:after="0" w:line="240" w:lineRule="auto"/>
      </w:pPr>
      <w:r w:rsidRPr="00305907">
        <w:rPr>
          <w:bCs/>
        </w:rPr>
        <w:t>2.Antikollajenolitiktir</w:t>
      </w:r>
      <w:r>
        <w:rPr>
          <w:bCs/>
        </w:rPr>
        <w:t>,</w:t>
      </w:r>
      <w:r w:rsidRPr="00305907">
        <w:rPr>
          <w:bCs/>
        </w:rPr>
        <w:t xml:space="preserve"> </w:t>
      </w:r>
      <w:r>
        <w:rPr>
          <w:bCs/>
        </w:rPr>
        <w:t>d</w:t>
      </w:r>
      <w:r w:rsidRPr="00305907">
        <w:rPr>
          <w:bCs/>
        </w:rPr>
        <w:t>oku yıkımını önler.</w:t>
      </w:r>
    </w:p>
    <w:p w:rsidR="00305907" w:rsidRPr="00305907" w:rsidRDefault="00305907" w:rsidP="00374C9E">
      <w:pPr>
        <w:tabs>
          <w:tab w:val="num" w:pos="720"/>
        </w:tabs>
        <w:spacing w:after="0" w:line="240" w:lineRule="auto"/>
      </w:pPr>
      <w:r w:rsidRPr="00305907">
        <w:rPr>
          <w:bCs/>
        </w:rPr>
        <w:t>3.Bakteriostatiktir</w:t>
      </w:r>
      <w:r>
        <w:rPr>
          <w:bCs/>
        </w:rPr>
        <w:t>,</w:t>
      </w:r>
      <w:r w:rsidRPr="00305907">
        <w:rPr>
          <w:bCs/>
        </w:rPr>
        <w:t xml:space="preserve"> Gram(+)’</w:t>
      </w:r>
      <w:proofErr w:type="spellStart"/>
      <w:r w:rsidRPr="00305907">
        <w:rPr>
          <w:bCs/>
        </w:rPr>
        <w:t>lere</w:t>
      </w:r>
      <w:proofErr w:type="spellEnd"/>
      <w:r w:rsidRPr="00305907">
        <w:rPr>
          <w:bCs/>
        </w:rPr>
        <w:t xml:space="preserve"> etkilidir.</w:t>
      </w:r>
    </w:p>
    <w:p w:rsidR="00305907" w:rsidRPr="00305907" w:rsidRDefault="00DA4B74" w:rsidP="00374C9E">
      <w:pPr>
        <w:tabs>
          <w:tab w:val="num" w:pos="720"/>
        </w:tabs>
        <w:spacing w:after="0" w:line="240" w:lineRule="auto"/>
      </w:pPr>
      <w:r>
        <w:rPr>
          <w:bCs/>
        </w:rPr>
        <w:t>4.</w:t>
      </w:r>
      <w:r w:rsidR="00305907" w:rsidRPr="00305907">
        <w:rPr>
          <w:bCs/>
        </w:rPr>
        <w:t>Hızlı üreyen bakterilere etkinliği daha fazladır.</w:t>
      </w:r>
    </w:p>
    <w:p w:rsidR="00305907" w:rsidRDefault="00DA4B74" w:rsidP="00374C9E">
      <w:pPr>
        <w:tabs>
          <w:tab w:val="num" w:pos="720"/>
        </w:tabs>
        <w:spacing w:after="0" w:line="240" w:lineRule="auto"/>
        <w:rPr>
          <w:b/>
          <w:bCs/>
        </w:rPr>
      </w:pPr>
      <w:r>
        <w:rPr>
          <w:bCs/>
        </w:rPr>
        <w:t>5</w:t>
      </w:r>
      <w:r w:rsidR="00305907" w:rsidRPr="00305907">
        <w:rPr>
          <w:bCs/>
        </w:rPr>
        <w:t xml:space="preserve">. Seruma göre dişeti oluğunda 2-10 kat daha fazla </w:t>
      </w:r>
      <w:proofErr w:type="gramStart"/>
      <w:r w:rsidR="00305907" w:rsidRPr="00305907">
        <w:rPr>
          <w:bCs/>
        </w:rPr>
        <w:t>konsantrasyonda</w:t>
      </w:r>
      <w:proofErr w:type="gramEnd"/>
      <w:r w:rsidR="00305907" w:rsidRPr="00305907">
        <w:rPr>
          <w:bCs/>
        </w:rPr>
        <w:t xml:space="preserve"> bulunur. (2-4</w:t>
      </w:r>
      <w:r w:rsidR="00305907" w:rsidRPr="00305907">
        <w:rPr>
          <w:bCs/>
        </w:rPr>
        <w:sym w:font="Symbol" w:char="006D"/>
      </w:r>
      <w:r w:rsidR="00305907" w:rsidRPr="00305907">
        <w:rPr>
          <w:bCs/>
        </w:rPr>
        <w:t>g/ml</w:t>
      </w:r>
      <w:r w:rsidR="00305907" w:rsidRPr="00305907">
        <w:rPr>
          <w:b/>
          <w:bCs/>
        </w:rPr>
        <w:t>)</w:t>
      </w:r>
    </w:p>
    <w:p w:rsidR="00305907" w:rsidRPr="00305907" w:rsidRDefault="00DA4B74" w:rsidP="00374C9E">
      <w:pPr>
        <w:tabs>
          <w:tab w:val="num" w:pos="720"/>
        </w:tabs>
        <w:spacing w:after="0" w:line="240" w:lineRule="auto"/>
        <w:rPr>
          <w:bCs/>
        </w:rPr>
      </w:pPr>
      <w:r>
        <w:rPr>
          <w:bCs/>
        </w:rPr>
        <w:t>6</w:t>
      </w:r>
      <w:r w:rsidR="00305907" w:rsidRPr="00305907">
        <w:rPr>
          <w:bCs/>
        </w:rPr>
        <w:t>.Yavaş salınım özelliği vardır.</w:t>
      </w:r>
    </w:p>
    <w:p w:rsidR="00305907" w:rsidRPr="00305907" w:rsidRDefault="00DA4B74" w:rsidP="00374C9E">
      <w:pPr>
        <w:tabs>
          <w:tab w:val="num" w:pos="720"/>
        </w:tabs>
        <w:spacing w:after="0" w:line="240" w:lineRule="auto"/>
        <w:rPr>
          <w:bCs/>
        </w:rPr>
      </w:pPr>
      <w:r>
        <w:rPr>
          <w:bCs/>
        </w:rPr>
        <w:t>7</w:t>
      </w:r>
      <w:r w:rsidR="00305907" w:rsidRPr="00305907">
        <w:rPr>
          <w:bCs/>
        </w:rPr>
        <w:t xml:space="preserve">.Fibroblast </w:t>
      </w:r>
      <w:r w:rsidR="00CC6440">
        <w:rPr>
          <w:bCs/>
        </w:rPr>
        <w:t>ve bağ dokusu ataçmanını artırarak</w:t>
      </w:r>
      <w:r w:rsidRPr="00305907">
        <w:rPr>
          <w:bCs/>
        </w:rPr>
        <w:t xml:space="preserve"> periodontal</w:t>
      </w:r>
      <w:r w:rsidR="00305907" w:rsidRPr="00305907">
        <w:rPr>
          <w:bCs/>
        </w:rPr>
        <w:t xml:space="preserve"> rejenerasyon</w:t>
      </w:r>
      <w:r w:rsidR="005754B4">
        <w:rPr>
          <w:bCs/>
        </w:rPr>
        <w:t>a katkıda bulunur</w:t>
      </w:r>
      <w:r w:rsidR="00305907" w:rsidRPr="00305907">
        <w:rPr>
          <w:bCs/>
        </w:rPr>
        <w:t>.</w:t>
      </w:r>
    </w:p>
    <w:p w:rsidR="00305907" w:rsidRPr="00305907" w:rsidRDefault="00DA4B74" w:rsidP="00374C9E">
      <w:pPr>
        <w:tabs>
          <w:tab w:val="num" w:pos="720"/>
        </w:tabs>
        <w:spacing w:after="0" w:line="240" w:lineRule="auto"/>
        <w:rPr>
          <w:bCs/>
        </w:rPr>
      </w:pPr>
      <w:r>
        <w:rPr>
          <w:bCs/>
        </w:rPr>
        <w:t>8</w:t>
      </w:r>
      <w:r w:rsidR="00305907" w:rsidRPr="00305907">
        <w:rPr>
          <w:bCs/>
        </w:rPr>
        <w:t>.Fosfolipaz A2 aktivitesini inhibe eder.</w:t>
      </w:r>
    </w:p>
    <w:p w:rsidR="00305907" w:rsidRPr="00305907" w:rsidRDefault="00DA4B74" w:rsidP="00374C9E">
      <w:pPr>
        <w:tabs>
          <w:tab w:val="num" w:pos="720"/>
        </w:tabs>
        <w:spacing w:after="0" w:line="240" w:lineRule="auto"/>
        <w:rPr>
          <w:bCs/>
        </w:rPr>
      </w:pPr>
      <w:r>
        <w:rPr>
          <w:bCs/>
        </w:rPr>
        <w:t>9</w:t>
      </w:r>
      <w:r w:rsidR="00305907" w:rsidRPr="00305907">
        <w:rPr>
          <w:bCs/>
        </w:rPr>
        <w:t>.PMN’lerce üretilen reaktif oksijen ürünlerinin etkinliğini ortadan kaldırır.</w:t>
      </w:r>
    </w:p>
    <w:p w:rsidR="00305907" w:rsidRDefault="00DA4B74" w:rsidP="00374C9E">
      <w:pPr>
        <w:tabs>
          <w:tab w:val="num" w:pos="720"/>
        </w:tabs>
        <w:spacing w:after="0" w:line="240" w:lineRule="auto"/>
        <w:rPr>
          <w:bCs/>
        </w:rPr>
      </w:pPr>
      <w:r>
        <w:rPr>
          <w:bCs/>
        </w:rPr>
        <w:t>10</w:t>
      </w:r>
      <w:r w:rsidR="00305907" w:rsidRPr="00305907">
        <w:rPr>
          <w:bCs/>
        </w:rPr>
        <w:t xml:space="preserve">.Osteoklastların fonksiyonunu inhibe eder.  </w:t>
      </w:r>
    </w:p>
    <w:p w:rsidR="00DA4B74" w:rsidRDefault="00DA4B74" w:rsidP="00374C9E">
      <w:pPr>
        <w:tabs>
          <w:tab w:val="num" w:pos="720"/>
        </w:tabs>
        <w:spacing w:after="0" w:line="240" w:lineRule="auto"/>
        <w:rPr>
          <w:bCs/>
        </w:rPr>
      </w:pPr>
    </w:p>
    <w:p w:rsidR="00270288" w:rsidRDefault="009D42E7" w:rsidP="00374C9E">
      <w:pPr>
        <w:tabs>
          <w:tab w:val="num" w:pos="720"/>
        </w:tabs>
        <w:spacing w:line="240" w:lineRule="auto"/>
        <w:rPr>
          <w:bCs/>
        </w:rPr>
      </w:pPr>
      <w:proofErr w:type="spellStart"/>
      <w:r>
        <w:rPr>
          <w:bCs/>
        </w:rPr>
        <w:t>Semisentetik</w:t>
      </w:r>
      <w:proofErr w:type="spellEnd"/>
      <w:r>
        <w:rPr>
          <w:bCs/>
        </w:rPr>
        <w:t xml:space="preserve"> tetrasiklin grubu antibiyotiklerin periodontolojide kullanılan diğer </w:t>
      </w:r>
      <w:r w:rsidR="00270288">
        <w:rPr>
          <w:bCs/>
        </w:rPr>
        <w:t xml:space="preserve">uzun etkili </w:t>
      </w:r>
      <w:r>
        <w:rPr>
          <w:bCs/>
        </w:rPr>
        <w:t xml:space="preserve">üyeleri </w:t>
      </w:r>
      <w:proofErr w:type="spellStart"/>
      <w:r>
        <w:rPr>
          <w:bCs/>
        </w:rPr>
        <w:t>minosiklin</w:t>
      </w:r>
      <w:proofErr w:type="spellEnd"/>
      <w:r>
        <w:rPr>
          <w:bCs/>
        </w:rPr>
        <w:t xml:space="preserve"> ve </w:t>
      </w:r>
      <w:proofErr w:type="spellStart"/>
      <w:r>
        <w:rPr>
          <w:bCs/>
        </w:rPr>
        <w:t>doksisiklindir</w:t>
      </w:r>
      <w:proofErr w:type="spellEnd"/>
      <w:r>
        <w:rPr>
          <w:bCs/>
        </w:rPr>
        <w:t>.</w:t>
      </w:r>
      <w:r w:rsidR="00270288">
        <w:rPr>
          <w:bCs/>
        </w:rPr>
        <w:t xml:space="preserve"> Kullanımları sırasında dikkat edilecek nokta: Bunlar s</w:t>
      </w:r>
      <w:r w:rsidR="00270288" w:rsidRPr="00270288">
        <w:rPr>
          <w:bCs/>
        </w:rPr>
        <w:t>üt, yo</w:t>
      </w:r>
      <w:r w:rsidR="00270288">
        <w:rPr>
          <w:bCs/>
        </w:rPr>
        <w:t>ğ</w:t>
      </w:r>
      <w:r w:rsidR="00270288" w:rsidRPr="00270288">
        <w:rPr>
          <w:bCs/>
        </w:rPr>
        <w:t xml:space="preserve">urt gibi besin ve </w:t>
      </w:r>
      <w:proofErr w:type="spellStart"/>
      <w:r w:rsidR="00270288" w:rsidRPr="00270288">
        <w:rPr>
          <w:bCs/>
        </w:rPr>
        <w:t>antasi</w:t>
      </w:r>
      <w:r w:rsidR="00270288">
        <w:rPr>
          <w:bCs/>
        </w:rPr>
        <w:t>t</w:t>
      </w:r>
      <w:proofErr w:type="spellEnd"/>
      <w:r w:rsidR="00270288" w:rsidRPr="00270288">
        <w:rPr>
          <w:bCs/>
        </w:rPr>
        <w:t xml:space="preserve">, </w:t>
      </w:r>
      <w:proofErr w:type="spellStart"/>
      <w:r w:rsidR="00270288" w:rsidRPr="00270288">
        <w:rPr>
          <w:bCs/>
        </w:rPr>
        <w:t>antianemik</w:t>
      </w:r>
      <w:proofErr w:type="spellEnd"/>
      <w:r w:rsidR="00270288" w:rsidRPr="00270288">
        <w:rPr>
          <w:bCs/>
        </w:rPr>
        <w:t xml:space="preserve"> ilaçlar</w:t>
      </w:r>
      <w:r w:rsidR="00270288">
        <w:rPr>
          <w:bCs/>
        </w:rPr>
        <w:t xml:space="preserve">daki </w:t>
      </w:r>
      <w:r w:rsidR="00270288" w:rsidRPr="00270288">
        <w:rPr>
          <w:bCs/>
        </w:rPr>
        <w:t xml:space="preserve">+2 ve +3 </w:t>
      </w:r>
      <w:proofErr w:type="spellStart"/>
      <w:r w:rsidR="00270288" w:rsidRPr="00270288">
        <w:rPr>
          <w:bCs/>
        </w:rPr>
        <w:t>de</w:t>
      </w:r>
      <w:r w:rsidR="00270288">
        <w:rPr>
          <w:bCs/>
        </w:rPr>
        <w:t>ğ</w:t>
      </w:r>
      <w:r w:rsidR="00270288" w:rsidRPr="00270288">
        <w:rPr>
          <w:bCs/>
        </w:rPr>
        <w:t>erlikli</w:t>
      </w:r>
      <w:proofErr w:type="spellEnd"/>
      <w:r w:rsidR="00270288" w:rsidRPr="00270288">
        <w:rPr>
          <w:bCs/>
        </w:rPr>
        <w:t xml:space="preserve"> </w:t>
      </w:r>
      <w:proofErr w:type="spellStart"/>
      <w:r w:rsidR="00270288" w:rsidRPr="00270288">
        <w:rPr>
          <w:bCs/>
        </w:rPr>
        <w:t>Ca</w:t>
      </w:r>
      <w:proofErr w:type="spellEnd"/>
      <w:r w:rsidR="00270288" w:rsidRPr="00270288">
        <w:rPr>
          <w:bCs/>
        </w:rPr>
        <w:t xml:space="preserve">, Fe, </w:t>
      </w:r>
      <w:proofErr w:type="spellStart"/>
      <w:r w:rsidR="00270288" w:rsidRPr="00270288">
        <w:rPr>
          <w:bCs/>
        </w:rPr>
        <w:t>Zn</w:t>
      </w:r>
      <w:proofErr w:type="spellEnd"/>
      <w:r w:rsidR="00270288" w:rsidRPr="00270288">
        <w:rPr>
          <w:bCs/>
        </w:rPr>
        <w:t>, Al, Mg gibi metallerle</w:t>
      </w:r>
      <w:r w:rsidR="00270288">
        <w:rPr>
          <w:bCs/>
        </w:rPr>
        <w:t xml:space="preserve"> </w:t>
      </w:r>
      <w:proofErr w:type="spellStart"/>
      <w:r w:rsidR="00270288">
        <w:rPr>
          <w:bCs/>
        </w:rPr>
        <w:t>şelat</w:t>
      </w:r>
      <w:proofErr w:type="spellEnd"/>
      <w:r w:rsidR="00270288" w:rsidRPr="00270288">
        <w:rPr>
          <w:bCs/>
        </w:rPr>
        <w:t xml:space="preserve"> olu</w:t>
      </w:r>
      <w:r w:rsidR="00270288">
        <w:rPr>
          <w:bCs/>
        </w:rPr>
        <w:t>ş</w:t>
      </w:r>
      <w:r w:rsidR="00270288" w:rsidRPr="00270288">
        <w:rPr>
          <w:bCs/>
        </w:rPr>
        <w:t>turduklar</w:t>
      </w:r>
      <w:r w:rsidR="00270288">
        <w:rPr>
          <w:bCs/>
        </w:rPr>
        <w:t>ı</w:t>
      </w:r>
      <w:r w:rsidR="00270288" w:rsidRPr="00270288">
        <w:rPr>
          <w:bCs/>
        </w:rPr>
        <w:t>ndan emilimleri azal</w:t>
      </w:r>
      <w:r w:rsidR="00270288">
        <w:rPr>
          <w:bCs/>
        </w:rPr>
        <w:t xml:space="preserve">ır. </w:t>
      </w:r>
      <w:r w:rsidR="00270288" w:rsidRPr="00270288">
        <w:rPr>
          <w:bCs/>
        </w:rPr>
        <w:t xml:space="preserve">Tetrasiklin ve </w:t>
      </w:r>
      <w:proofErr w:type="spellStart"/>
      <w:r w:rsidR="00270288" w:rsidRPr="00270288">
        <w:rPr>
          <w:bCs/>
        </w:rPr>
        <w:t>oksitetrasiklin</w:t>
      </w:r>
      <w:proofErr w:type="spellEnd"/>
      <w:r w:rsidR="00270288" w:rsidRPr="00270288">
        <w:rPr>
          <w:bCs/>
        </w:rPr>
        <w:t xml:space="preserve"> böbreklerden at</w:t>
      </w:r>
      <w:r w:rsidR="00270288">
        <w:rPr>
          <w:bCs/>
        </w:rPr>
        <w:t>ı</w:t>
      </w:r>
      <w:r w:rsidR="00270288" w:rsidRPr="00270288">
        <w:rPr>
          <w:bCs/>
        </w:rPr>
        <w:t>l</w:t>
      </w:r>
      <w:r w:rsidR="00270288">
        <w:rPr>
          <w:bCs/>
        </w:rPr>
        <w:t>ı</w:t>
      </w:r>
      <w:r w:rsidR="00270288" w:rsidRPr="00270288">
        <w:rPr>
          <w:bCs/>
        </w:rPr>
        <w:t xml:space="preserve">rken, </w:t>
      </w:r>
      <w:proofErr w:type="spellStart"/>
      <w:r w:rsidR="00270288" w:rsidRPr="00270288">
        <w:rPr>
          <w:bCs/>
        </w:rPr>
        <w:t>minosiklin</w:t>
      </w:r>
      <w:proofErr w:type="spellEnd"/>
      <w:r w:rsidR="00270288" w:rsidRPr="00270288">
        <w:rPr>
          <w:bCs/>
        </w:rPr>
        <w:t xml:space="preserve"> ve</w:t>
      </w:r>
      <w:r w:rsidR="00270288">
        <w:rPr>
          <w:bCs/>
        </w:rPr>
        <w:t xml:space="preserve"> </w:t>
      </w:r>
      <w:r w:rsidR="00270288" w:rsidRPr="00270288">
        <w:rPr>
          <w:bCs/>
        </w:rPr>
        <w:t>doksisiklin karaci</w:t>
      </w:r>
      <w:r w:rsidR="00270288">
        <w:rPr>
          <w:bCs/>
        </w:rPr>
        <w:t>ğ</w:t>
      </w:r>
      <w:r w:rsidR="00270288" w:rsidRPr="00270288">
        <w:rPr>
          <w:bCs/>
        </w:rPr>
        <w:t>erde metabolizma edilir.</w:t>
      </w:r>
    </w:p>
    <w:p w:rsidR="00B96B8B" w:rsidRPr="00A87F7B" w:rsidRDefault="008270FF" w:rsidP="0072257A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Yan Etkileri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>Gastro intersistial sistemde; bulant</w:t>
      </w:r>
      <w:r w:rsidRPr="00A87F7B">
        <w:rPr>
          <w:rFonts w:cs="MSTT31c8ca00"/>
        </w:rPr>
        <w:t>ı</w:t>
      </w:r>
      <w:r w:rsidRPr="00A87F7B">
        <w:rPr>
          <w:rFonts w:cs="Times New Roman"/>
        </w:rPr>
        <w:t>, kusma, anoreksi, enterokolit,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STT31c8ca00"/>
        </w:rPr>
      </w:pPr>
      <w:r w:rsidRPr="00A87F7B">
        <w:rPr>
          <w:rFonts w:cs="Times New Roman"/>
        </w:rPr>
        <w:t>Süresi dolmu</w:t>
      </w:r>
      <w:r w:rsidRPr="00A87F7B">
        <w:rPr>
          <w:rFonts w:cs="MSTT31c8ca00"/>
        </w:rPr>
        <w:t xml:space="preserve">ş </w:t>
      </w:r>
      <w:r w:rsidRPr="00A87F7B">
        <w:rPr>
          <w:rFonts w:cs="Times New Roman"/>
        </w:rPr>
        <w:t>preparatlar</w:t>
      </w:r>
      <w:r w:rsidRPr="00A87F7B">
        <w:rPr>
          <w:rFonts w:cs="MSTT31c8ca00"/>
        </w:rPr>
        <w:t>ı</w:t>
      </w:r>
      <w:r w:rsidRPr="00A87F7B">
        <w:rPr>
          <w:rFonts w:cs="Times New Roman"/>
        </w:rPr>
        <w:t xml:space="preserve">yla </w:t>
      </w:r>
      <w:proofErr w:type="spellStart"/>
      <w:r w:rsidRPr="00A87F7B">
        <w:rPr>
          <w:rFonts w:cs="Times New Roman"/>
          <w:bCs/>
        </w:rPr>
        <w:t>Fanconi</w:t>
      </w:r>
      <w:proofErr w:type="spellEnd"/>
      <w:r w:rsidRPr="00A87F7B">
        <w:rPr>
          <w:rFonts w:cs="Times New Roman"/>
          <w:bCs/>
        </w:rPr>
        <w:t xml:space="preserve"> </w:t>
      </w:r>
      <w:proofErr w:type="gramStart"/>
      <w:r w:rsidRPr="00A87F7B">
        <w:rPr>
          <w:rFonts w:cs="Times New Roman"/>
          <w:bCs/>
        </w:rPr>
        <w:t>sendromu</w:t>
      </w:r>
      <w:proofErr w:type="gramEnd"/>
      <w:r w:rsidRPr="00A87F7B">
        <w:rPr>
          <w:rFonts w:cs="Times New Roman"/>
          <w:bCs/>
        </w:rPr>
        <w:t xml:space="preserve"> </w:t>
      </w:r>
      <w:r w:rsidRPr="00A87F7B">
        <w:rPr>
          <w:rFonts w:cs="Times New Roman"/>
        </w:rPr>
        <w:t>(</w:t>
      </w:r>
      <w:proofErr w:type="spellStart"/>
      <w:r w:rsidRPr="00A87F7B">
        <w:rPr>
          <w:rFonts w:cs="Times New Roman"/>
        </w:rPr>
        <w:t>sistinozis</w:t>
      </w:r>
      <w:proofErr w:type="spellEnd"/>
      <w:r w:rsidRPr="00A87F7B">
        <w:rPr>
          <w:rFonts w:cs="Times New Roman"/>
        </w:rPr>
        <w:t xml:space="preserve">; </w:t>
      </w:r>
      <w:proofErr w:type="spellStart"/>
      <w:r w:rsidRPr="00A87F7B">
        <w:rPr>
          <w:rFonts w:cs="Times New Roman"/>
        </w:rPr>
        <w:t>renal</w:t>
      </w:r>
      <w:proofErr w:type="spellEnd"/>
      <w:r w:rsidRPr="00A87F7B">
        <w:rPr>
          <w:rFonts w:cs="Times New Roman"/>
        </w:rPr>
        <w:t xml:space="preserve"> tübüler fonksiyon bozuklu</w:t>
      </w:r>
      <w:r w:rsidRPr="00A87F7B">
        <w:rPr>
          <w:rFonts w:cs="MSTT31c8ca00"/>
        </w:rPr>
        <w:t>ğu) benzeri tablo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>Di</w:t>
      </w:r>
      <w:r w:rsidRPr="00A87F7B">
        <w:rPr>
          <w:rFonts w:cs="MSTT31c8ca00"/>
        </w:rPr>
        <w:t>ş</w:t>
      </w:r>
      <w:r w:rsidRPr="00A87F7B">
        <w:rPr>
          <w:rFonts w:cs="Times New Roman"/>
        </w:rPr>
        <w:t xml:space="preserve">lerde ve kemiklerde </w:t>
      </w:r>
      <w:r w:rsidRPr="00A87F7B">
        <w:rPr>
          <w:rFonts w:cs="Times New Roman"/>
          <w:bCs/>
        </w:rPr>
        <w:t>disklorasyon ve gelişme bozukluklar</w:t>
      </w:r>
      <w:r w:rsidRPr="00A87F7B">
        <w:rPr>
          <w:rFonts w:cs="MSTT31c8d700"/>
        </w:rPr>
        <w:t>ı</w:t>
      </w:r>
      <w:r w:rsidRPr="00A87F7B">
        <w:rPr>
          <w:rFonts w:cs="Times New Roman"/>
          <w:bCs/>
        </w:rPr>
        <w:t xml:space="preserve">, </w:t>
      </w:r>
      <w:r w:rsidRPr="00A87F7B">
        <w:rPr>
          <w:rFonts w:cs="Times New Roman"/>
        </w:rPr>
        <w:t>gebelerde ve 8 yaş</w:t>
      </w:r>
      <w:r w:rsidRPr="00A87F7B">
        <w:rPr>
          <w:rFonts w:cs="MSTT31c8ca00"/>
        </w:rPr>
        <w:t xml:space="preserve"> </w:t>
      </w:r>
      <w:r w:rsidRPr="00A87F7B">
        <w:rPr>
          <w:rFonts w:cs="Times New Roman"/>
        </w:rPr>
        <w:t>alt</w:t>
      </w:r>
      <w:r w:rsidRPr="00A87F7B">
        <w:rPr>
          <w:rFonts w:cs="MSTT31c8ca00"/>
        </w:rPr>
        <w:t>ı</w:t>
      </w:r>
      <w:r w:rsidRPr="00A87F7B">
        <w:rPr>
          <w:rFonts w:cs="Times New Roman"/>
        </w:rPr>
        <w:t>ndaki çocuklarda kullan</w:t>
      </w:r>
      <w:r w:rsidRPr="00A87F7B">
        <w:rPr>
          <w:rFonts w:cs="MSTT31c8ca00"/>
        </w:rPr>
        <w:t>ı</w:t>
      </w:r>
      <w:r w:rsidRPr="00A87F7B">
        <w:rPr>
          <w:rFonts w:cs="Times New Roman"/>
        </w:rPr>
        <w:t>lmamal</w:t>
      </w:r>
      <w:r w:rsidRPr="00A87F7B">
        <w:rPr>
          <w:rFonts w:cs="MSTT31c8ca00"/>
        </w:rPr>
        <w:t>ı</w:t>
      </w:r>
      <w:r w:rsidRPr="00A87F7B">
        <w:rPr>
          <w:rFonts w:cs="Times New Roman"/>
        </w:rPr>
        <w:t>d</w:t>
      </w:r>
      <w:r w:rsidRPr="00A87F7B">
        <w:rPr>
          <w:rFonts w:cs="MSTT31c8ca00"/>
        </w:rPr>
        <w:t>ı</w:t>
      </w:r>
      <w:r w:rsidRPr="00A87F7B">
        <w:rPr>
          <w:rFonts w:cs="Times New Roman"/>
        </w:rPr>
        <w:t>r,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 xml:space="preserve">Bebeklerde </w:t>
      </w:r>
      <w:proofErr w:type="spellStart"/>
      <w:r w:rsidRPr="00A87F7B">
        <w:rPr>
          <w:rFonts w:cs="Times New Roman"/>
        </w:rPr>
        <w:t>psödotümör</w:t>
      </w:r>
      <w:proofErr w:type="spellEnd"/>
      <w:r w:rsidRPr="00A87F7B">
        <w:rPr>
          <w:rFonts w:cs="Times New Roman"/>
        </w:rPr>
        <w:t xml:space="preserve"> </w:t>
      </w:r>
      <w:proofErr w:type="spellStart"/>
      <w:r w:rsidRPr="00A87F7B">
        <w:rPr>
          <w:rFonts w:cs="Times New Roman"/>
        </w:rPr>
        <w:t>serebri</w:t>
      </w:r>
      <w:proofErr w:type="spellEnd"/>
      <w:r w:rsidRPr="00A87F7B">
        <w:rPr>
          <w:rFonts w:cs="Times New Roman"/>
        </w:rPr>
        <w:t xml:space="preserve"> tablosu,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>Minosiklinle vestibüler bozukluklar,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 xml:space="preserve">Doksisiklin hariç böbrek </w:t>
      </w:r>
      <w:r w:rsidR="00DA4B74" w:rsidRPr="00A87F7B">
        <w:rPr>
          <w:rFonts w:cs="Times New Roman"/>
        </w:rPr>
        <w:t>bozukluğu</w:t>
      </w:r>
      <w:r w:rsidRPr="00A87F7B">
        <w:rPr>
          <w:rFonts w:cs="Times New Roman"/>
        </w:rPr>
        <w:t xml:space="preserve"> olanlarda</w:t>
      </w:r>
      <w:r>
        <w:rPr>
          <w:rFonts w:cs="Times New Roman"/>
        </w:rPr>
        <w:t xml:space="preserve"> </w:t>
      </w:r>
      <w:r w:rsidRPr="00A87F7B">
        <w:rPr>
          <w:rFonts w:cs="Times New Roman"/>
        </w:rPr>
        <w:t>kullanılmamalılar (</w:t>
      </w:r>
      <w:proofErr w:type="spellStart"/>
      <w:r w:rsidRPr="00A87F7B">
        <w:rPr>
          <w:rFonts w:cs="Times New Roman"/>
        </w:rPr>
        <w:t>azotemi</w:t>
      </w:r>
      <w:proofErr w:type="spellEnd"/>
      <w:r w:rsidRPr="00A87F7B">
        <w:rPr>
          <w:rFonts w:cs="Times New Roman"/>
        </w:rPr>
        <w:t>),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A87F7B">
        <w:rPr>
          <w:rFonts w:cs="Times New Roman"/>
        </w:rPr>
        <w:t>Fatal</w:t>
      </w:r>
      <w:proofErr w:type="spellEnd"/>
      <w:r w:rsidRPr="00A87F7B">
        <w:rPr>
          <w:rFonts w:cs="Times New Roman"/>
        </w:rPr>
        <w:t xml:space="preserve"> </w:t>
      </w:r>
      <w:proofErr w:type="spellStart"/>
      <w:r w:rsidRPr="00A87F7B">
        <w:rPr>
          <w:rFonts w:cs="Times New Roman"/>
        </w:rPr>
        <w:t>hepatorenal</w:t>
      </w:r>
      <w:proofErr w:type="spellEnd"/>
      <w:r w:rsidRPr="00A87F7B">
        <w:rPr>
          <w:rFonts w:cs="Times New Roman"/>
        </w:rPr>
        <w:t xml:space="preserve"> </w:t>
      </w:r>
      <w:proofErr w:type="gramStart"/>
      <w:r w:rsidRPr="00A87F7B">
        <w:rPr>
          <w:rFonts w:cs="Times New Roman"/>
        </w:rPr>
        <w:t>sendrom</w:t>
      </w:r>
      <w:proofErr w:type="gramEnd"/>
      <w:r w:rsidRPr="00A87F7B">
        <w:rPr>
          <w:rFonts w:cs="Times New Roman"/>
        </w:rPr>
        <w:t>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 xml:space="preserve">Gebelerde </w:t>
      </w:r>
      <w:proofErr w:type="spellStart"/>
      <w:r w:rsidRPr="00A87F7B">
        <w:rPr>
          <w:rFonts w:cs="Times New Roman"/>
        </w:rPr>
        <w:t>ketoasidoz</w:t>
      </w:r>
      <w:proofErr w:type="spellEnd"/>
      <w:r w:rsidRPr="00A87F7B">
        <w:rPr>
          <w:rFonts w:cs="Times New Roman"/>
        </w:rPr>
        <w:t>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A87F7B">
        <w:rPr>
          <w:rFonts w:cs="Times New Roman"/>
        </w:rPr>
        <w:t>Demeklosiklin</w:t>
      </w:r>
      <w:proofErr w:type="spellEnd"/>
      <w:r w:rsidRPr="00A87F7B">
        <w:rPr>
          <w:rFonts w:cs="Times New Roman"/>
        </w:rPr>
        <w:t xml:space="preserve"> ile </w:t>
      </w:r>
      <w:proofErr w:type="spellStart"/>
      <w:r w:rsidRPr="00A87F7B">
        <w:rPr>
          <w:rFonts w:cs="Times New Roman"/>
        </w:rPr>
        <w:t>fotosensitivite</w:t>
      </w:r>
      <w:proofErr w:type="spellEnd"/>
      <w:r w:rsidRPr="00A87F7B">
        <w:rPr>
          <w:rFonts w:cs="Times New Roman"/>
        </w:rPr>
        <w:t>,</w:t>
      </w:r>
    </w:p>
    <w:p w:rsidR="00B96B8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 xml:space="preserve">Barsak </w:t>
      </w:r>
      <w:proofErr w:type="gramStart"/>
      <w:r w:rsidRPr="00A87F7B">
        <w:rPr>
          <w:rFonts w:cs="Times New Roman"/>
        </w:rPr>
        <w:t>florasını</w:t>
      </w:r>
      <w:proofErr w:type="gramEnd"/>
      <w:r w:rsidRPr="00A87F7B">
        <w:rPr>
          <w:rFonts w:cs="Times New Roman"/>
        </w:rPr>
        <w:t xml:space="preserve"> bozduklarından enterokolit, stomatit,</w:t>
      </w:r>
    </w:p>
    <w:p w:rsidR="00B96B8B" w:rsidRPr="00A87F7B" w:rsidRDefault="00B96B8B" w:rsidP="00374C9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</w:p>
    <w:p w:rsidR="00B96B8B" w:rsidRPr="00A87F7B" w:rsidRDefault="008270FF" w:rsidP="0072257A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İlaç etkileşimleri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>Penisilinlerin etkisini azaltırlar,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>K</w:t>
      </w:r>
      <w:r w:rsidR="00A65250">
        <w:rPr>
          <w:rFonts w:cs="Times New Roman"/>
        </w:rPr>
        <w:t>araciğer</w:t>
      </w:r>
      <w:r w:rsidRPr="00A87F7B">
        <w:rPr>
          <w:rFonts w:cs="Times New Roman"/>
        </w:rPr>
        <w:t xml:space="preserve"> enzimini indükleyen ilaçlar özellikle doksisiklinin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eliminasyonunu</w:t>
      </w:r>
      <w:proofErr w:type="gramEnd"/>
      <w:r>
        <w:rPr>
          <w:rFonts w:cs="Times New Roman"/>
        </w:rPr>
        <w:t xml:space="preserve"> (yarılanma ömrünü)kısaltırlar.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 xml:space="preserve">Güçlü </w:t>
      </w:r>
      <w:proofErr w:type="spellStart"/>
      <w:r w:rsidRPr="00A87F7B">
        <w:rPr>
          <w:rFonts w:cs="Times New Roman"/>
        </w:rPr>
        <w:t>diüretikler</w:t>
      </w:r>
      <w:proofErr w:type="spellEnd"/>
      <w:r w:rsidRPr="00A87F7B">
        <w:rPr>
          <w:rFonts w:cs="Times New Roman"/>
        </w:rPr>
        <w:t xml:space="preserve"> </w:t>
      </w:r>
      <w:proofErr w:type="spellStart"/>
      <w:r w:rsidRPr="00A87F7B">
        <w:rPr>
          <w:rFonts w:cs="Times New Roman"/>
        </w:rPr>
        <w:t>nefrotoksisitelerini</w:t>
      </w:r>
      <w:proofErr w:type="spellEnd"/>
      <w:r w:rsidRPr="00A87F7B">
        <w:rPr>
          <w:rFonts w:cs="Times New Roman"/>
        </w:rPr>
        <w:t xml:space="preserve"> arttırı</w:t>
      </w:r>
      <w:r>
        <w:rPr>
          <w:rFonts w:cs="Times New Roman"/>
        </w:rPr>
        <w:t>rlar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lastRenderedPageBreak/>
        <w:t>Oral kontraseptiflerin etkilerini azaltırlar</w:t>
      </w:r>
    </w:p>
    <w:p w:rsidR="00B96B8B" w:rsidRPr="00A87F7B" w:rsidRDefault="00B96B8B" w:rsidP="00374C9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F7B">
        <w:rPr>
          <w:rFonts w:cs="Times New Roman"/>
        </w:rPr>
        <w:t>Oral antikoagülanların etkilerini potansiyalize ederler.</w:t>
      </w:r>
    </w:p>
    <w:p w:rsidR="00270288" w:rsidRPr="00270288" w:rsidRDefault="00270288" w:rsidP="00374C9E">
      <w:pPr>
        <w:tabs>
          <w:tab w:val="num" w:pos="720"/>
        </w:tabs>
        <w:spacing w:after="0" w:line="240" w:lineRule="auto"/>
        <w:rPr>
          <w:bCs/>
        </w:rPr>
      </w:pPr>
    </w:p>
    <w:p w:rsidR="00305907" w:rsidRPr="00FE6674" w:rsidRDefault="00996766" w:rsidP="00374C9E">
      <w:pPr>
        <w:tabs>
          <w:tab w:val="num" w:pos="720"/>
        </w:tabs>
        <w:spacing w:after="0" w:line="240" w:lineRule="auto"/>
        <w:rPr>
          <w:b/>
          <w:bCs/>
        </w:rPr>
      </w:pPr>
      <w:proofErr w:type="spellStart"/>
      <w:r w:rsidRPr="00FE6674">
        <w:rPr>
          <w:b/>
          <w:bCs/>
        </w:rPr>
        <w:t>Minosiklin</w:t>
      </w:r>
      <w:proofErr w:type="spellEnd"/>
    </w:p>
    <w:p w:rsidR="00996766" w:rsidRDefault="00FE6674" w:rsidP="00374C9E">
      <w:pPr>
        <w:tabs>
          <w:tab w:val="num" w:pos="720"/>
        </w:tabs>
        <w:spacing w:after="0" w:line="240" w:lineRule="auto"/>
      </w:pPr>
      <w:proofErr w:type="spellStart"/>
      <w:r w:rsidRPr="00713FD8">
        <w:rPr>
          <w:i/>
        </w:rPr>
        <w:t>Streptomyces</w:t>
      </w:r>
      <w:proofErr w:type="spellEnd"/>
      <w:r w:rsidRPr="00FE6674">
        <w:t xml:space="preserve"> </w:t>
      </w:r>
      <w:proofErr w:type="spellStart"/>
      <w:r w:rsidRPr="00713FD8">
        <w:rPr>
          <w:i/>
        </w:rPr>
        <w:t>Rimosus</w:t>
      </w:r>
      <w:r w:rsidRPr="00FE6674">
        <w:t>'tan</w:t>
      </w:r>
      <w:proofErr w:type="spellEnd"/>
      <w:r w:rsidRPr="00FE6674">
        <w:t xml:space="preserve"> elde edilen bir antibiyotik. Kimyevi yapısı bakımından sarı renkte bir </w:t>
      </w:r>
      <w:r w:rsidR="00DA4B74" w:rsidRPr="00FE6674">
        <w:t>sodyum</w:t>
      </w:r>
      <w:r w:rsidRPr="00FE6674">
        <w:t xml:space="preserve"> tuzudur. </w:t>
      </w:r>
      <w:r w:rsidRPr="00FE6674">
        <w:rPr>
          <w:bCs/>
        </w:rPr>
        <w:t>Etki ettiği mikrobik saha bir hayli geniş</w:t>
      </w:r>
      <w:r>
        <w:rPr>
          <w:bCs/>
        </w:rPr>
        <w:t>:</w:t>
      </w:r>
      <w:r w:rsidRPr="00FE6674">
        <w:rPr>
          <w:bCs/>
        </w:rPr>
        <w:t xml:space="preserve"> Gram (+) </w:t>
      </w:r>
      <w:r w:rsidR="0087329E" w:rsidRPr="00FE6674">
        <w:rPr>
          <w:bCs/>
        </w:rPr>
        <w:t>bakteriler</w:t>
      </w:r>
      <w:r w:rsidRPr="00FE6674">
        <w:rPr>
          <w:bCs/>
        </w:rPr>
        <w:t xml:space="preserve">, Gram (-) bakteriler, </w:t>
      </w:r>
      <w:proofErr w:type="spellStart"/>
      <w:r>
        <w:rPr>
          <w:bCs/>
        </w:rPr>
        <w:t>r</w:t>
      </w:r>
      <w:r w:rsidRPr="00FE6674">
        <w:rPr>
          <w:bCs/>
        </w:rPr>
        <w:t>iketsi</w:t>
      </w:r>
      <w:r>
        <w:rPr>
          <w:bCs/>
        </w:rPr>
        <w:t>y</w:t>
      </w:r>
      <w:r w:rsidRPr="00FE6674">
        <w:rPr>
          <w:bCs/>
        </w:rPr>
        <w:t>alar</w:t>
      </w:r>
      <w:proofErr w:type="spellEnd"/>
      <w:r w:rsidRPr="00FE6674">
        <w:rPr>
          <w:bCs/>
        </w:rPr>
        <w:t xml:space="preserve">, </w:t>
      </w:r>
      <w:proofErr w:type="spellStart"/>
      <w:r>
        <w:rPr>
          <w:bCs/>
        </w:rPr>
        <w:t>k</w:t>
      </w:r>
      <w:r w:rsidRPr="00FE6674">
        <w:rPr>
          <w:bCs/>
        </w:rPr>
        <w:t>lamid</w:t>
      </w:r>
      <w:r>
        <w:rPr>
          <w:bCs/>
        </w:rPr>
        <w:t>y</w:t>
      </w:r>
      <w:r w:rsidRPr="00FE6674">
        <w:rPr>
          <w:bCs/>
        </w:rPr>
        <w:t>alar</w:t>
      </w:r>
      <w:proofErr w:type="spellEnd"/>
      <w:r w:rsidRPr="00FE6674">
        <w:rPr>
          <w:bCs/>
        </w:rPr>
        <w:t xml:space="preserve">, </w:t>
      </w:r>
      <w:proofErr w:type="spellStart"/>
      <w:r w:rsidRPr="00FE6674">
        <w:rPr>
          <w:bCs/>
        </w:rPr>
        <w:t>mikroplazmalar</w:t>
      </w:r>
      <w:proofErr w:type="spellEnd"/>
      <w:r>
        <w:rPr>
          <w:bCs/>
        </w:rPr>
        <w:t xml:space="preserve">. </w:t>
      </w:r>
      <w:r w:rsidR="00996766" w:rsidRPr="00FE6674">
        <w:rPr>
          <w:bCs/>
        </w:rPr>
        <w:t xml:space="preserve">Kronik periodontitiste spiroketler ve </w:t>
      </w:r>
      <w:proofErr w:type="spellStart"/>
      <w:r w:rsidR="00996766" w:rsidRPr="00FE6674">
        <w:rPr>
          <w:bCs/>
        </w:rPr>
        <w:t>motil</w:t>
      </w:r>
      <w:proofErr w:type="spellEnd"/>
      <w:r w:rsidR="00996766" w:rsidRPr="00FE6674">
        <w:rPr>
          <w:bCs/>
        </w:rPr>
        <w:t xml:space="preserve"> çomaklar üzerine 3 ay süre ile etkili. Tetrasikline göre daha düşük yan etkisi var (</w:t>
      </w:r>
      <w:proofErr w:type="spellStart"/>
      <w:r w:rsidR="00996766" w:rsidRPr="00FE6674">
        <w:rPr>
          <w:bCs/>
        </w:rPr>
        <w:t>Reversible</w:t>
      </w:r>
      <w:proofErr w:type="spellEnd"/>
      <w:r w:rsidR="00996766" w:rsidRPr="00FE6674">
        <w:rPr>
          <w:bCs/>
        </w:rPr>
        <w:t xml:space="preserve"> </w:t>
      </w:r>
      <w:proofErr w:type="spellStart"/>
      <w:r w:rsidR="00996766" w:rsidRPr="00FE6674">
        <w:rPr>
          <w:bCs/>
        </w:rPr>
        <w:t>vertigo</w:t>
      </w:r>
      <w:proofErr w:type="spellEnd"/>
      <w:r w:rsidR="00996766" w:rsidRPr="00FE6674">
        <w:rPr>
          <w:bCs/>
        </w:rPr>
        <w:t>). Dozaj: 2x1 200 mg/gün.</w:t>
      </w:r>
    </w:p>
    <w:p w:rsidR="00DA4B74" w:rsidRDefault="00DA4B74" w:rsidP="00374C9E">
      <w:pPr>
        <w:tabs>
          <w:tab w:val="num" w:pos="720"/>
        </w:tabs>
        <w:spacing w:after="0" w:line="240" w:lineRule="auto"/>
        <w:rPr>
          <w:b/>
        </w:rPr>
      </w:pPr>
    </w:p>
    <w:p w:rsidR="00996766" w:rsidRPr="00996766" w:rsidRDefault="00996766" w:rsidP="00374C9E">
      <w:pPr>
        <w:tabs>
          <w:tab w:val="num" w:pos="720"/>
        </w:tabs>
        <w:spacing w:after="0" w:line="240" w:lineRule="auto"/>
        <w:rPr>
          <w:b/>
        </w:rPr>
      </w:pPr>
      <w:r w:rsidRPr="00996766">
        <w:rPr>
          <w:b/>
        </w:rPr>
        <w:t>Doksisiklin</w:t>
      </w:r>
    </w:p>
    <w:p w:rsidR="00D70494" w:rsidRPr="00D70494" w:rsidRDefault="00996766" w:rsidP="00374C9E">
      <w:pPr>
        <w:autoSpaceDE w:val="0"/>
        <w:autoSpaceDN w:val="0"/>
        <w:adjustRightInd w:val="0"/>
        <w:spacing w:after="0" w:line="240" w:lineRule="auto"/>
      </w:pPr>
      <w:proofErr w:type="spellStart"/>
      <w:r w:rsidRPr="00996766">
        <w:rPr>
          <w:bCs/>
        </w:rPr>
        <w:t>Minosiklin</w:t>
      </w:r>
      <w:proofErr w:type="spellEnd"/>
      <w:r w:rsidRPr="00996766">
        <w:rPr>
          <w:bCs/>
        </w:rPr>
        <w:t xml:space="preserve"> ile aynı spektruma sahip</w:t>
      </w:r>
      <w:r>
        <w:rPr>
          <w:bCs/>
        </w:rPr>
        <w:t xml:space="preserve">. </w:t>
      </w:r>
      <w:proofErr w:type="gramStart"/>
      <w:r w:rsidRPr="00996766">
        <w:rPr>
          <w:bCs/>
        </w:rPr>
        <w:t>Hasta</w:t>
      </w:r>
      <w:r>
        <w:rPr>
          <w:bCs/>
        </w:rPr>
        <w:t>nın</w:t>
      </w:r>
      <w:r w:rsidRPr="00996766">
        <w:rPr>
          <w:bCs/>
        </w:rPr>
        <w:t xml:space="preserve"> toleransı daha iyi</w:t>
      </w:r>
      <w:r>
        <w:rPr>
          <w:bCs/>
        </w:rPr>
        <w:t xml:space="preserve">. </w:t>
      </w:r>
      <w:proofErr w:type="gramEnd"/>
      <w:r>
        <w:rPr>
          <w:bCs/>
        </w:rPr>
        <w:t xml:space="preserve">Dozaj: </w:t>
      </w:r>
      <w:r w:rsidRPr="00996766">
        <w:rPr>
          <w:bCs/>
        </w:rPr>
        <w:t>İlk gün 2x1 100mg,</w:t>
      </w:r>
      <w:r>
        <w:rPr>
          <w:bCs/>
        </w:rPr>
        <w:t xml:space="preserve"> </w:t>
      </w:r>
      <w:r w:rsidRPr="00996766">
        <w:rPr>
          <w:bCs/>
        </w:rPr>
        <w:t xml:space="preserve">takip eden </w:t>
      </w:r>
      <w:r w:rsidRPr="00D70494">
        <w:t xml:space="preserve">günler 1x1 100mg. </w:t>
      </w:r>
      <w:r w:rsidR="00D70494" w:rsidRPr="00D70494">
        <w:t xml:space="preserve">Doksisiklin yeterli miktarda suyla alınmazsa veya alındıktan kısa süre sonra yatılırsa özofagusta mukozal </w:t>
      </w:r>
      <w:r w:rsidR="00DA4B74" w:rsidRPr="00D70494">
        <w:t>irritasyona</w:t>
      </w:r>
      <w:r w:rsidR="00D70494" w:rsidRPr="00D70494">
        <w:t xml:space="preserve"> neden olabilir.</w:t>
      </w:r>
    </w:p>
    <w:p w:rsidR="00D70494" w:rsidRDefault="00D70494" w:rsidP="00374C9E">
      <w:pPr>
        <w:tabs>
          <w:tab w:val="num" w:pos="720"/>
        </w:tabs>
        <w:spacing w:after="0" w:line="240" w:lineRule="auto"/>
      </w:pPr>
    </w:p>
    <w:p w:rsidR="00D70494" w:rsidRPr="00D70494" w:rsidRDefault="00D70494" w:rsidP="00374C9E">
      <w:pPr>
        <w:tabs>
          <w:tab w:val="num" w:pos="720"/>
        </w:tabs>
        <w:spacing w:after="0" w:line="240" w:lineRule="auto"/>
        <w:rPr>
          <w:b/>
        </w:rPr>
      </w:pPr>
      <w:r w:rsidRPr="00D70494">
        <w:rPr>
          <w:b/>
        </w:rPr>
        <w:t>Metronidazol</w:t>
      </w:r>
    </w:p>
    <w:p w:rsidR="00D70494" w:rsidRDefault="00D70494" w:rsidP="00374C9E">
      <w:pPr>
        <w:tabs>
          <w:tab w:val="num" w:pos="720"/>
        </w:tabs>
        <w:spacing w:after="0" w:line="240" w:lineRule="auto"/>
        <w:rPr>
          <w:bCs/>
        </w:rPr>
      </w:pPr>
      <w:proofErr w:type="spellStart"/>
      <w:r w:rsidRPr="00D70494">
        <w:rPr>
          <w:bCs/>
        </w:rPr>
        <w:t>Nitroimidazol</w:t>
      </w:r>
      <w:proofErr w:type="spellEnd"/>
      <w:r w:rsidRPr="00D70494">
        <w:rPr>
          <w:bCs/>
        </w:rPr>
        <w:t xml:space="preserve"> türevidir.</w:t>
      </w:r>
      <w:r w:rsidR="001F74BA">
        <w:rPr>
          <w:bCs/>
        </w:rPr>
        <w:t xml:space="preserve"> Bakterilerin DNA sentezi üzerine </w:t>
      </w:r>
      <w:r w:rsidR="00DA4B74">
        <w:rPr>
          <w:bCs/>
        </w:rPr>
        <w:t>bakterisidal</w:t>
      </w:r>
      <w:r w:rsidR="001F74BA">
        <w:rPr>
          <w:bCs/>
        </w:rPr>
        <w:t xml:space="preserve"> etki gösterir. </w:t>
      </w:r>
      <w:r w:rsidR="001F74BA" w:rsidRPr="00D70494">
        <w:rPr>
          <w:bCs/>
        </w:rPr>
        <w:t xml:space="preserve"> </w:t>
      </w:r>
      <w:proofErr w:type="spellStart"/>
      <w:r w:rsidRPr="00D70494">
        <w:rPr>
          <w:bCs/>
        </w:rPr>
        <w:t>Protozoa</w:t>
      </w:r>
      <w:proofErr w:type="spellEnd"/>
      <w:r w:rsidR="001F74BA">
        <w:rPr>
          <w:bCs/>
        </w:rPr>
        <w:t xml:space="preserve">, </w:t>
      </w:r>
      <w:proofErr w:type="spellStart"/>
      <w:r w:rsidR="00713FD8" w:rsidRPr="00713FD8">
        <w:rPr>
          <w:bCs/>
          <w:i/>
        </w:rPr>
        <w:t>P</w:t>
      </w:r>
      <w:r w:rsidR="001F74BA" w:rsidRPr="00713FD8">
        <w:rPr>
          <w:bCs/>
          <w:i/>
        </w:rPr>
        <w:t>.intermedia</w:t>
      </w:r>
      <w:proofErr w:type="spellEnd"/>
      <w:r w:rsidR="001F74BA" w:rsidRPr="00D70494">
        <w:rPr>
          <w:bCs/>
        </w:rPr>
        <w:t xml:space="preserve"> ve </w:t>
      </w:r>
      <w:proofErr w:type="spellStart"/>
      <w:r w:rsidR="00713FD8" w:rsidRPr="00713FD8">
        <w:rPr>
          <w:bCs/>
          <w:i/>
        </w:rPr>
        <w:t>P</w:t>
      </w:r>
      <w:r w:rsidR="001F74BA" w:rsidRPr="00D70494">
        <w:rPr>
          <w:bCs/>
        </w:rPr>
        <w:t>.</w:t>
      </w:r>
      <w:r w:rsidR="001F74BA" w:rsidRPr="00713FD8">
        <w:rPr>
          <w:bCs/>
          <w:i/>
        </w:rPr>
        <w:t>gingivalis</w:t>
      </w:r>
      <w:r w:rsidR="001F74BA" w:rsidRPr="00D70494">
        <w:rPr>
          <w:bCs/>
        </w:rPr>
        <w:t>’e</w:t>
      </w:r>
      <w:proofErr w:type="spellEnd"/>
      <w:r w:rsidR="001F74BA" w:rsidRPr="00D70494">
        <w:rPr>
          <w:bCs/>
        </w:rPr>
        <w:t xml:space="preserve"> </w:t>
      </w:r>
      <w:proofErr w:type="spellStart"/>
      <w:r w:rsidRPr="00D70494">
        <w:rPr>
          <w:bCs/>
        </w:rPr>
        <w:t>infeksiyonlara</w:t>
      </w:r>
      <w:proofErr w:type="spellEnd"/>
      <w:r w:rsidRPr="00D70494">
        <w:rPr>
          <w:bCs/>
        </w:rPr>
        <w:t xml:space="preserve"> etkilidir.</w:t>
      </w:r>
      <w:r w:rsidR="001F74BA">
        <w:rPr>
          <w:bCs/>
        </w:rPr>
        <w:t xml:space="preserve"> </w:t>
      </w:r>
      <w:r w:rsidRPr="00713FD8">
        <w:rPr>
          <w:bCs/>
          <w:i/>
        </w:rPr>
        <w:t>Aa</w:t>
      </w:r>
      <w:r w:rsidRPr="00D70494">
        <w:rPr>
          <w:bCs/>
        </w:rPr>
        <w:t xml:space="preserve">’ya </w:t>
      </w:r>
      <w:r w:rsidR="001F74BA">
        <w:rPr>
          <w:bCs/>
        </w:rPr>
        <w:t xml:space="preserve">karşı diğer antibiyotiklerle kombine olarak kullanılmazsa </w:t>
      </w:r>
      <w:r w:rsidRPr="00D70494">
        <w:rPr>
          <w:bCs/>
        </w:rPr>
        <w:t xml:space="preserve">etkili değildir. Gingivitis, NUG, </w:t>
      </w:r>
      <w:r w:rsidR="001F74BA">
        <w:rPr>
          <w:bCs/>
        </w:rPr>
        <w:t>k</w:t>
      </w:r>
      <w:r w:rsidRPr="00D70494">
        <w:rPr>
          <w:bCs/>
        </w:rPr>
        <w:t xml:space="preserve">ronik ve </w:t>
      </w:r>
      <w:proofErr w:type="gramStart"/>
      <w:r w:rsidR="001F74BA">
        <w:rPr>
          <w:bCs/>
        </w:rPr>
        <w:t>agresif</w:t>
      </w:r>
      <w:proofErr w:type="gramEnd"/>
      <w:r w:rsidRPr="00D70494">
        <w:rPr>
          <w:bCs/>
        </w:rPr>
        <w:t xml:space="preserve"> periodontitis tedavisinde kullanılır. 250 mg oral yolla alındığında </w:t>
      </w:r>
      <w:r w:rsidR="001F74BA">
        <w:rPr>
          <w:bCs/>
        </w:rPr>
        <w:t>serum</w:t>
      </w:r>
      <w:r w:rsidRPr="00D70494">
        <w:rPr>
          <w:bCs/>
        </w:rPr>
        <w:t xml:space="preserve"> ve DOS da etkin </w:t>
      </w:r>
      <w:proofErr w:type="gramStart"/>
      <w:r w:rsidRPr="00D70494">
        <w:rPr>
          <w:bCs/>
        </w:rPr>
        <w:t>konsantrasyona</w:t>
      </w:r>
      <w:proofErr w:type="gramEnd"/>
      <w:r w:rsidRPr="00D70494">
        <w:rPr>
          <w:bCs/>
        </w:rPr>
        <w:t xml:space="preserve"> ulaşır.</w:t>
      </w:r>
    </w:p>
    <w:p w:rsidR="001F74BA" w:rsidRPr="00D70494" w:rsidRDefault="001F74BA" w:rsidP="00374C9E">
      <w:pPr>
        <w:tabs>
          <w:tab w:val="num" w:pos="720"/>
        </w:tabs>
        <w:spacing w:after="0" w:line="240" w:lineRule="auto"/>
        <w:rPr>
          <w:bCs/>
        </w:rPr>
      </w:pPr>
    </w:p>
    <w:p w:rsidR="002D600D" w:rsidRPr="002D600D" w:rsidRDefault="002D600D" w:rsidP="00374C9E">
      <w:pPr>
        <w:tabs>
          <w:tab w:val="num" w:pos="720"/>
        </w:tabs>
        <w:spacing w:after="0" w:line="240" w:lineRule="auto"/>
      </w:pPr>
      <w:r w:rsidRPr="002D600D">
        <w:rPr>
          <w:b/>
          <w:bCs/>
        </w:rPr>
        <w:t>P</w:t>
      </w:r>
      <w:r>
        <w:rPr>
          <w:b/>
          <w:bCs/>
        </w:rPr>
        <w:t>enisilin</w:t>
      </w:r>
    </w:p>
    <w:p w:rsidR="002D600D" w:rsidRPr="002D600D" w:rsidRDefault="002D600D" w:rsidP="00374C9E">
      <w:pPr>
        <w:tabs>
          <w:tab w:val="num" w:pos="720"/>
        </w:tabs>
        <w:spacing w:after="0" w:line="240" w:lineRule="auto"/>
      </w:pPr>
      <w:r>
        <w:rPr>
          <w:bCs/>
        </w:rPr>
        <w:t xml:space="preserve">Birçok ciddi </w:t>
      </w:r>
      <w:proofErr w:type="gramStart"/>
      <w:r>
        <w:rPr>
          <w:bCs/>
        </w:rPr>
        <w:t>enfeksiyonlarda</w:t>
      </w:r>
      <w:proofErr w:type="gramEnd"/>
      <w:r>
        <w:rPr>
          <w:bCs/>
        </w:rPr>
        <w:t xml:space="preserve"> kullanılan en yaygın antibiyotik gru</w:t>
      </w:r>
      <w:r w:rsidR="008270FF">
        <w:rPr>
          <w:bCs/>
        </w:rPr>
        <w:t>budur</w:t>
      </w:r>
      <w:r>
        <w:rPr>
          <w:bCs/>
        </w:rPr>
        <w:t>. Doğal vey</w:t>
      </w:r>
      <w:r w:rsidR="00D1170D">
        <w:rPr>
          <w:bCs/>
        </w:rPr>
        <w:t>a</w:t>
      </w:r>
      <w:r>
        <w:rPr>
          <w:bCs/>
        </w:rPr>
        <w:t xml:space="preserve"> yarı sentetik olarak elde</w:t>
      </w:r>
      <w:r w:rsidR="00DA4B74">
        <w:rPr>
          <w:bCs/>
        </w:rPr>
        <w:t xml:space="preserve"> </w:t>
      </w:r>
      <w:r>
        <w:rPr>
          <w:bCs/>
        </w:rPr>
        <w:t>edilebilirler.</w:t>
      </w:r>
      <w:r w:rsidR="00D1170D">
        <w:rPr>
          <w:bCs/>
        </w:rPr>
        <w:t xml:space="preserve"> </w:t>
      </w:r>
      <w:r w:rsidRPr="002D600D">
        <w:rPr>
          <w:bCs/>
        </w:rPr>
        <w:t>Bakterisidal etkilidir</w:t>
      </w:r>
      <w:r w:rsidR="00D1170D">
        <w:rPr>
          <w:bCs/>
        </w:rPr>
        <w:t xml:space="preserve">ler. </w:t>
      </w:r>
      <w:r w:rsidRPr="002D600D">
        <w:rPr>
          <w:bCs/>
        </w:rPr>
        <w:t xml:space="preserve">Hastaların %10’u </w:t>
      </w:r>
      <w:r w:rsidR="00D1170D">
        <w:rPr>
          <w:bCs/>
        </w:rPr>
        <w:t>penisilinlere karşı alerjiktir.</w:t>
      </w:r>
      <w:r w:rsidRPr="002D600D">
        <w:rPr>
          <w:bCs/>
        </w:rPr>
        <w:t xml:space="preserve"> </w:t>
      </w:r>
    </w:p>
    <w:p w:rsidR="002D600D" w:rsidRDefault="002D600D" w:rsidP="00374C9E">
      <w:pPr>
        <w:tabs>
          <w:tab w:val="num" w:pos="720"/>
        </w:tabs>
        <w:spacing w:after="0" w:line="240" w:lineRule="auto"/>
        <w:rPr>
          <w:bCs/>
        </w:rPr>
      </w:pPr>
      <w:r w:rsidRPr="002D600D">
        <w:rPr>
          <w:bCs/>
        </w:rPr>
        <w:sym w:font="Symbol" w:char="0062"/>
      </w:r>
      <w:r w:rsidRPr="002D600D">
        <w:rPr>
          <w:bCs/>
        </w:rPr>
        <w:t>-laktamaz</w:t>
      </w:r>
      <w:r w:rsidR="00D1170D">
        <w:rPr>
          <w:bCs/>
        </w:rPr>
        <w:t xml:space="preserve"> üreten mikroorganizmalara karşı</w:t>
      </w:r>
      <w:r w:rsidRPr="002D600D">
        <w:rPr>
          <w:bCs/>
        </w:rPr>
        <w:t xml:space="preserve"> etkisizdir</w:t>
      </w:r>
      <w:r w:rsidR="00D1170D">
        <w:rPr>
          <w:bCs/>
        </w:rPr>
        <w:t>. Bu nedenle a</w:t>
      </w:r>
      <w:r w:rsidRPr="002D600D">
        <w:rPr>
          <w:bCs/>
        </w:rPr>
        <w:t xml:space="preserve">moksisilin + </w:t>
      </w:r>
      <w:r w:rsidR="00D1170D">
        <w:rPr>
          <w:bCs/>
        </w:rPr>
        <w:t>k</w:t>
      </w:r>
      <w:r w:rsidRPr="002D600D">
        <w:rPr>
          <w:bCs/>
        </w:rPr>
        <w:t xml:space="preserve">lavulanik </w:t>
      </w:r>
      <w:r w:rsidR="00D1170D">
        <w:rPr>
          <w:bCs/>
        </w:rPr>
        <w:t>a</w:t>
      </w:r>
      <w:r w:rsidRPr="002D600D">
        <w:rPr>
          <w:bCs/>
        </w:rPr>
        <w:t xml:space="preserve">sit </w:t>
      </w:r>
      <w:proofErr w:type="gramStart"/>
      <w:r w:rsidR="00D1170D">
        <w:rPr>
          <w:bCs/>
        </w:rPr>
        <w:t>kombinasyonu</w:t>
      </w:r>
      <w:proofErr w:type="gramEnd"/>
      <w:r w:rsidR="00D1170D">
        <w:rPr>
          <w:bCs/>
        </w:rPr>
        <w:t xml:space="preserve"> preparatlar üretilmiştir. Metronidazol + a</w:t>
      </w:r>
      <w:r w:rsidR="00D1170D" w:rsidRPr="002D600D">
        <w:rPr>
          <w:bCs/>
        </w:rPr>
        <w:t xml:space="preserve">moksisilin + </w:t>
      </w:r>
      <w:r w:rsidR="00D1170D">
        <w:rPr>
          <w:bCs/>
        </w:rPr>
        <w:t>k</w:t>
      </w:r>
      <w:r w:rsidR="00D1170D" w:rsidRPr="002D600D">
        <w:rPr>
          <w:bCs/>
        </w:rPr>
        <w:t xml:space="preserve">lavulanik </w:t>
      </w:r>
      <w:r w:rsidR="00D1170D">
        <w:rPr>
          <w:bCs/>
        </w:rPr>
        <w:t>a</w:t>
      </w:r>
      <w:r w:rsidR="00D1170D" w:rsidRPr="002D600D">
        <w:rPr>
          <w:bCs/>
        </w:rPr>
        <w:t>sit</w:t>
      </w:r>
      <w:r w:rsidR="00D1170D">
        <w:rPr>
          <w:bCs/>
        </w:rPr>
        <w:t xml:space="preserve"> birlikte </w:t>
      </w:r>
      <w:proofErr w:type="gramStart"/>
      <w:r w:rsidR="00D1170D">
        <w:rPr>
          <w:bCs/>
        </w:rPr>
        <w:t>agresif</w:t>
      </w:r>
      <w:proofErr w:type="gramEnd"/>
      <w:r w:rsidR="00D1170D">
        <w:rPr>
          <w:bCs/>
        </w:rPr>
        <w:t xml:space="preserve"> periodontitiste kullanılır.</w:t>
      </w:r>
    </w:p>
    <w:p w:rsidR="00D1170D" w:rsidRDefault="00D1170D" w:rsidP="00374C9E">
      <w:pPr>
        <w:tabs>
          <w:tab w:val="num" w:pos="720"/>
        </w:tabs>
        <w:spacing w:after="0" w:line="240" w:lineRule="auto"/>
        <w:rPr>
          <w:b/>
          <w:bCs/>
        </w:rPr>
      </w:pPr>
      <w:proofErr w:type="spellStart"/>
      <w:r w:rsidRPr="00D1170D">
        <w:rPr>
          <w:b/>
          <w:bCs/>
        </w:rPr>
        <w:t>Siprofloksazin</w:t>
      </w:r>
      <w:proofErr w:type="spellEnd"/>
    </w:p>
    <w:p w:rsidR="00D1170D" w:rsidRPr="00D1170D" w:rsidRDefault="00D1170D" w:rsidP="00374C9E">
      <w:pPr>
        <w:tabs>
          <w:tab w:val="num" w:pos="720"/>
        </w:tabs>
        <w:spacing w:after="0" w:line="240" w:lineRule="auto"/>
        <w:rPr>
          <w:bCs/>
        </w:rPr>
      </w:pPr>
      <w:r>
        <w:rPr>
          <w:bCs/>
        </w:rPr>
        <w:t xml:space="preserve">GR negatif fakültatif ve bazı aneoroplar üzerinde etkilidir. </w:t>
      </w:r>
      <w:proofErr w:type="spellStart"/>
      <w:r w:rsidRPr="00D1170D">
        <w:rPr>
          <w:bCs/>
        </w:rPr>
        <w:t>Aa’ya</w:t>
      </w:r>
      <w:proofErr w:type="spellEnd"/>
      <w:r w:rsidRPr="00D1170D">
        <w:rPr>
          <w:bCs/>
        </w:rPr>
        <w:t xml:space="preserve"> duyarlıdır, </w:t>
      </w:r>
      <w:proofErr w:type="spellStart"/>
      <w:r w:rsidRPr="00D1170D">
        <w:rPr>
          <w:bCs/>
        </w:rPr>
        <w:t>metranidazol</w:t>
      </w:r>
      <w:proofErr w:type="spellEnd"/>
      <w:r w:rsidRPr="00D1170D">
        <w:rPr>
          <w:bCs/>
        </w:rPr>
        <w:t xml:space="preserve"> ile kombine kullanılabilir</w:t>
      </w:r>
      <w:r>
        <w:rPr>
          <w:bCs/>
        </w:rPr>
        <w:t>.</w:t>
      </w:r>
    </w:p>
    <w:p w:rsidR="00D1170D" w:rsidRPr="00D1170D" w:rsidRDefault="00D1170D" w:rsidP="00374C9E">
      <w:pPr>
        <w:tabs>
          <w:tab w:val="num" w:pos="720"/>
        </w:tabs>
        <w:spacing w:after="0" w:line="240" w:lineRule="auto"/>
        <w:rPr>
          <w:b/>
          <w:bCs/>
        </w:rPr>
      </w:pPr>
      <w:proofErr w:type="spellStart"/>
      <w:r w:rsidRPr="00D1170D">
        <w:rPr>
          <w:b/>
          <w:bCs/>
        </w:rPr>
        <w:t>Klindamisin</w:t>
      </w:r>
      <w:proofErr w:type="spellEnd"/>
    </w:p>
    <w:p w:rsidR="00D1170D" w:rsidRPr="00D1170D" w:rsidRDefault="00D1170D" w:rsidP="00374C9E">
      <w:pPr>
        <w:tabs>
          <w:tab w:val="num" w:pos="720"/>
        </w:tabs>
        <w:spacing w:after="0" w:line="240" w:lineRule="auto"/>
        <w:rPr>
          <w:bCs/>
        </w:rPr>
      </w:pPr>
      <w:proofErr w:type="spellStart"/>
      <w:r w:rsidRPr="00D1170D">
        <w:rPr>
          <w:bCs/>
        </w:rPr>
        <w:t>Anaeroblara</w:t>
      </w:r>
      <w:proofErr w:type="spellEnd"/>
      <w:r w:rsidRPr="00D1170D">
        <w:rPr>
          <w:bCs/>
        </w:rPr>
        <w:t xml:space="preserve"> ve </w:t>
      </w:r>
      <w:proofErr w:type="spellStart"/>
      <w:r w:rsidRPr="00D1170D">
        <w:rPr>
          <w:bCs/>
        </w:rPr>
        <w:t>tetrasikline</w:t>
      </w:r>
      <w:proofErr w:type="spellEnd"/>
      <w:r w:rsidRPr="00D1170D">
        <w:rPr>
          <w:bCs/>
        </w:rPr>
        <w:t xml:space="preserve"> dirençli periodontitislerde </w:t>
      </w:r>
      <w:r>
        <w:rPr>
          <w:bCs/>
        </w:rPr>
        <w:t>kullanılır</w:t>
      </w:r>
      <w:r w:rsidRPr="00D1170D">
        <w:rPr>
          <w:bCs/>
        </w:rPr>
        <w:t>.</w:t>
      </w:r>
      <w:r>
        <w:rPr>
          <w:bCs/>
        </w:rPr>
        <w:t xml:space="preserve"> </w:t>
      </w:r>
      <w:r w:rsidRPr="00D1170D">
        <w:rPr>
          <w:bCs/>
        </w:rPr>
        <w:t xml:space="preserve">Kolite neden olabilir, dikkatli </w:t>
      </w:r>
      <w:r>
        <w:rPr>
          <w:bCs/>
        </w:rPr>
        <w:t>olunmalıdır.</w:t>
      </w:r>
    </w:p>
    <w:p w:rsidR="00D1170D" w:rsidRDefault="00D1170D" w:rsidP="00374C9E">
      <w:pPr>
        <w:tabs>
          <w:tab w:val="num" w:pos="720"/>
        </w:tabs>
        <w:spacing w:after="0" w:line="240" w:lineRule="auto"/>
        <w:rPr>
          <w:b/>
          <w:bCs/>
        </w:rPr>
      </w:pPr>
      <w:proofErr w:type="spellStart"/>
      <w:r w:rsidRPr="00D1170D">
        <w:rPr>
          <w:b/>
          <w:bCs/>
        </w:rPr>
        <w:t>Spiramisin</w:t>
      </w:r>
      <w:proofErr w:type="spellEnd"/>
    </w:p>
    <w:p w:rsidR="00D1170D" w:rsidRPr="00D1170D" w:rsidRDefault="00D1170D" w:rsidP="00374C9E">
      <w:pPr>
        <w:tabs>
          <w:tab w:val="num" w:pos="720"/>
        </w:tabs>
        <w:spacing w:after="0" w:line="240" w:lineRule="auto"/>
      </w:pPr>
      <w:r w:rsidRPr="00D1170D">
        <w:rPr>
          <w:bCs/>
        </w:rPr>
        <w:t>Gram (+)’</w:t>
      </w:r>
      <w:proofErr w:type="spellStart"/>
      <w:r w:rsidRPr="00D1170D">
        <w:rPr>
          <w:bCs/>
        </w:rPr>
        <w:t>lere</w:t>
      </w:r>
      <w:proofErr w:type="spellEnd"/>
      <w:r w:rsidRPr="00D1170D">
        <w:rPr>
          <w:bCs/>
        </w:rPr>
        <w:t xml:space="preserve"> etkilidir.</w:t>
      </w:r>
      <w:r>
        <w:rPr>
          <w:bCs/>
        </w:rPr>
        <w:t xml:space="preserve"> </w:t>
      </w:r>
      <w:proofErr w:type="gramStart"/>
      <w:r w:rsidRPr="00D1170D">
        <w:rPr>
          <w:bCs/>
        </w:rPr>
        <w:t>Gİ,Pİ</w:t>
      </w:r>
      <w:proofErr w:type="gramEnd"/>
      <w:r w:rsidRPr="00D1170D">
        <w:rPr>
          <w:bCs/>
        </w:rPr>
        <w:t xml:space="preserve">,CD,DOS akışında olumlu etkileri </w:t>
      </w:r>
      <w:r w:rsidR="00F91DDF">
        <w:rPr>
          <w:bCs/>
        </w:rPr>
        <w:t>olduğu gösterilmiştir</w:t>
      </w:r>
      <w:r w:rsidRPr="00D1170D">
        <w:rPr>
          <w:bCs/>
        </w:rPr>
        <w:t>.</w:t>
      </w:r>
    </w:p>
    <w:p w:rsidR="00B6340A" w:rsidRDefault="00B6340A" w:rsidP="00374C9E">
      <w:pPr>
        <w:tabs>
          <w:tab w:val="num" w:pos="720"/>
        </w:tabs>
        <w:spacing w:after="0" w:line="240" w:lineRule="auto"/>
        <w:rPr>
          <w:b/>
          <w:bCs/>
        </w:rPr>
      </w:pPr>
    </w:p>
    <w:p w:rsidR="0046533A" w:rsidRPr="0046533A" w:rsidRDefault="0046533A" w:rsidP="00374C9E">
      <w:pPr>
        <w:tabs>
          <w:tab w:val="num" w:pos="720"/>
        </w:tabs>
        <w:spacing w:after="0" w:line="240" w:lineRule="auto"/>
      </w:pPr>
      <w:r w:rsidRPr="0046533A">
        <w:rPr>
          <w:b/>
          <w:bCs/>
        </w:rPr>
        <w:t>KOMBİNE ANTİBİYOTİK KULLANIMI</w:t>
      </w:r>
    </w:p>
    <w:p w:rsidR="0046533A" w:rsidRDefault="0046533A" w:rsidP="00374C9E">
      <w:pPr>
        <w:tabs>
          <w:tab w:val="num" w:pos="720"/>
        </w:tabs>
        <w:spacing w:after="0" w:line="240" w:lineRule="auto"/>
        <w:rPr>
          <w:bCs/>
        </w:rPr>
      </w:pPr>
      <w:r w:rsidRPr="0046533A">
        <w:rPr>
          <w:bCs/>
        </w:rPr>
        <w:t xml:space="preserve">Periodontal </w:t>
      </w:r>
      <w:proofErr w:type="gramStart"/>
      <w:r w:rsidRPr="0046533A">
        <w:rPr>
          <w:bCs/>
        </w:rPr>
        <w:t>enfeksiyonlar</w:t>
      </w:r>
      <w:r>
        <w:rPr>
          <w:bCs/>
        </w:rPr>
        <w:t>dan</w:t>
      </w:r>
      <w:proofErr w:type="gramEnd"/>
      <w:r>
        <w:rPr>
          <w:bCs/>
        </w:rPr>
        <w:t xml:space="preserve"> henüz tamamı aydınlatılamamış bir grup mikroorganizma </w:t>
      </w:r>
      <w:r w:rsidR="00B6340A">
        <w:rPr>
          <w:bCs/>
        </w:rPr>
        <w:t>tarafından</w:t>
      </w:r>
      <w:r>
        <w:rPr>
          <w:bCs/>
        </w:rPr>
        <w:t xml:space="preserve"> oluşturulurlar. Bunlar</w:t>
      </w:r>
      <w:r w:rsidRPr="0046533A">
        <w:rPr>
          <w:bCs/>
        </w:rPr>
        <w:t xml:space="preserve"> </w:t>
      </w:r>
      <w:r>
        <w:rPr>
          <w:bCs/>
        </w:rPr>
        <w:t>a</w:t>
      </w:r>
      <w:r w:rsidRPr="0046533A">
        <w:rPr>
          <w:bCs/>
        </w:rPr>
        <w:t xml:space="preserve">naerobik, </w:t>
      </w:r>
      <w:proofErr w:type="spellStart"/>
      <w:r w:rsidRPr="0046533A">
        <w:rPr>
          <w:bCs/>
        </w:rPr>
        <w:t>mikroaerofilik</w:t>
      </w:r>
      <w:proofErr w:type="spellEnd"/>
      <w:r w:rsidRPr="0046533A">
        <w:rPr>
          <w:bCs/>
        </w:rPr>
        <w:t>, gram(-) ve gram (+) bakteriler</w:t>
      </w:r>
      <w:r w:rsidR="00B6340A">
        <w:rPr>
          <w:bCs/>
        </w:rPr>
        <w:t>den oluşan</w:t>
      </w:r>
      <w:r w:rsidRPr="0046533A">
        <w:rPr>
          <w:bCs/>
        </w:rPr>
        <w:t xml:space="preserve"> birçok türleri içerebilmektedir</w:t>
      </w:r>
      <w:r>
        <w:rPr>
          <w:bCs/>
        </w:rPr>
        <w:t>. Bu nedenle periodontal hastalıklara</w:t>
      </w:r>
      <w:r w:rsidRPr="0046533A">
        <w:rPr>
          <w:bCs/>
        </w:rPr>
        <w:t xml:space="preserve"> karşı etkili tek bir antibiyotik bulunmamaktadır. </w:t>
      </w:r>
      <w:r>
        <w:rPr>
          <w:bCs/>
        </w:rPr>
        <w:t>S</w:t>
      </w:r>
      <w:r w:rsidRPr="0046533A">
        <w:rPr>
          <w:bCs/>
        </w:rPr>
        <w:t xml:space="preserve">eri halde veya kombine antibiyotik kullanımı yararlı </w:t>
      </w:r>
      <w:r>
        <w:rPr>
          <w:bCs/>
        </w:rPr>
        <w:t>olabilir</w:t>
      </w:r>
      <w:r w:rsidRPr="0046533A">
        <w:rPr>
          <w:bCs/>
        </w:rPr>
        <w:t>.</w:t>
      </w:r>
      <w:r>
        <w:rPr>
          <w:bCs/>
        </w:rPr>
        <w:t xml:space="preserve"> Dikkat edilmesi gereken en önemli husus: </w:t>
      </w:r>
      <w:r w:rsidRPr="0046533A">
        <w:rPr>
          <w:bCs/>
        </w:rPr>
        <w:t>Bakteriostatik etkili antibiyotikler bakterisit etkili antibiyotikler ile beraber kullanılma</w:t>
      </w:r>
      <w:r w:rsidR="007D3DAF">
        <w:rPr>
          <w:bCs/>
        </w:rPr>
        <w:t>z</w:t>
      </w:r>
      <w:r>
        <w:rPr>
          <w:bCs/>
        </w:rPr>
        <w:t>.</w:t>
      </w:r>
      <w:r w:rsidRPr="0046533A">
        <w:rPr>
          <w:bCs/>
        </w:rPr>
        <w:t xml:space="preserve"> Metronidazol + Amoksisilin</w:t>
      </w:r>
      <w:r>
        <w:rPr>
          <w:bCs/>
        </w:rPr>
        <w:t xml:space="preserve">, </w:t>
      </w:r>
      <w:r w:rsidRPr="0046533A">
        <w:rPr>
          <w:bCs/>
        </w:rPr>
        <w:t xml:space="preserve">Metronidazol + </w:t>
      </w:r>
      <w:proofErr w:type="spellStart"/>
      <w:r w:rsidRPr="0046533A">
        <w:rPr>
          <w:bCs/>
        </w:rPr>
        <w:t>Augmentin</w:t>
      </w:r>
      <w:proofErr w:type="spellEnd"/>
      <w:r>
        <w:rPr>
          <w:bCs/>
        </w:rPr>
        <w:t xml:space="preserve">, </w:t>
      </w:r>
      <w:r w:rsidRPr="0046533A">
        <w:rPr>
          <w:bCs/>
        </w:rPr>
        <w:t xml:space="preserve">Metronidazol + </w:t>
      </w:r>
      <w:proofErr w:type="spellStart"/>
      <w:r w:rsidRPr="0046533A">
        <w:rPr>
          <w:bCs/>
        </w:rPr>
        <w:t>Siprofloksasin</w:t>
      </w:r>
      <w:proofErr w:type="spellEnd"/>
      <w:r>
        <w:rPr>
          <w:bCs/>
        </w:rPr>
        <w:t xml:space="preserve"> kombinasyonları periodontal enfeksiyonlarda kullanılmaktadır.</w:t>
      </w:r>
    </w:p>
    <w:p w:rsidR="0046533A" w:rsidRDefault="0046533A" w:rsidP="00374C9E">
      <w:pPr>
        <w:tabs>
          <w:tab w:val="num" w:pos="720"/>
        </w:tabs>
        <w:spacing w:after="0" w:line="240" w:lineRule="auto"/>
        <w:rPr>
          <w:bCs/>
        </w:rPr>
      </w:pPr>
    </w:p>
    <w:p w:rsidR="00765172" w:rsidRPr="00765172" w:rsidRDefault="00765172" w:rsidP="00374C9E">
      <w:pPr>
        <w:tabs>
          <w:tab w:val="num" w:pos="720"/>
        </w:tabs>
        <w:spacing w:after="0" w:line="240" w:lineRule="auto"/>
        <w:rPr>
          <w:bCs/>
        </w:rPr>
      </w:pPr>
      <w:r w:rsidRPr="00765172">
        <w:rPr>
          <w:b/>
          <w:bCs/>
        </w:rPr>
        <w:t>NONSTEROİDAL ANTİ-İNFLAMATUAR İLAÇLAR</w:t>
      </w:r>
    </w:p>
    <w:p w:rsidR="00765172" w:rsidRDefault="00765172" w:rsidP="00374C9E">
      <w:pPr>
        <w:tabs>
          <w:tab w:val="num" w:pos="720"/>
        </w:tabs>
        <w:spacing w:line="240" w:lineRule="auto"/>
        <w:rPr>
          <w:bCs/>
        </w:rPr>
      </w:pPr>
      <w:proofErr w:type="spellStart"/>
      <w:r>
        <w:rPr>
          <w:bCs/>
        </w:rPr>
        <w:t>F</w:t>
      </w:r>
      <w:r w:rsidRPr="00765172">
        <w:rPr>
          <w:bCs/>
        </w:rPr>
        <w:t>ilurbiprofen</w:t>
      </w:r>
      <w:proofErr w:type="spellEnd"/>
      <w:r>
        <w:rPr>
          <w:bCs/>
        </w:rPr>
        <w:t xml:space="preserve">, </w:t>
      </w:r>
      <w:proofErr w:type="spellStart"/>
      <w:r w:rsidRPr="00765172">
        <w:rPr>
          <w:bCs/>
        </w:rPr>
        <w:t>ibuprofen</w:t>
      </w:r>
      <w:proofErr w:type="spellEnd"/>
      <w:r>
        <w:rPr>
          <w:bCs/>
        </w:rPr>
        <w:t xml:space="preserve">, </w:t>
      </w:r>
      <w:proofErr w:type="spellStart"/>
      <w:r w:rsidRPr="00765172">
        <w:rPr>
          <w:bCs/>
        </w:rPr>
        <w:t>mefenamik</w:t>
      </w:r>
      <w:proofErr w:type="spellEnd"/>
      <w:r w:rsidRPr="00765172">
        <w:rPr>
          <w:bCs/>
        </w:rPr>
        <w:t xml:space="preserve"> asit</w:t>
      </w:r>
      <w:r>
        <w:rPr>
          <w:bCs/>
        </w:rPr>
        <w:t xml:space="preserve">, </w:t>
      </w:r>
      <w:proofErr w:type="spellStart"/>
      <w:r w:rsidRPr="00765172">
        <w:rPr>
          <w:bCs/>
        </w:rPr>
        <w:t>naproksen</w:t>
      </w:r>
      <w:proofErr w:type="spellEnd"/>
      <w:r>
        <w:rPr>
          <w:bCs/>
        </w:rPr>
        <w:t xml:space="preserve"> sodyum </w:t>
      </w:r>
      <w:r w:rsidR="004848A3">
        <w:rPr>
          <w:bCs/>
        </w:rPr>
        <w:t>gibi ilaçların konağın immün yanıtında olumlu etkileri olduğu gösterildiğinden son zamanlarda periodontal hastalıkların tedavisi üzerindeki rolleri araştırılmaktadır.</w:t>
      </w:r>
    </w:p>
    <w:p w:rsidR="00953ABD" w:rsidRDefault="00953ABD" w:rsidP="00374C9E">
      <w:pPr>
        <w:tabs>
          <w:tab w:val="num" w:pos="720"/>
        </w:tabs>
        <w:spacing w:after="0" w:line="240" w:lineRule="auto"/>
        <w:rPr>
          <w:b/>
          <w:bCs/>
        </w:rPr>
      </w:pPr>
    </w:p>
    <w:p w:rsidR="00953ABD" w:rsidRDefault="00953ABD" w:rsidP="00374C9E">
      <w:pPr>
        <w:tabs>
          <w:tab w:val="num" w:pos="720"/>
        </w:tabs>
        <w:spacing w:after="0" w:line="240" w:lineRule="auto"/>
        <w:rPr>
          <w:b/>
          <w:bCs/>
        </w:rPr>
      </w:pPr>
    </w:p>
    <w:p w:rsidR="003D74AF" w:rsidRPr="00934A8B" w:rsidRDefault="00934A8B" w:rsidP="00374C9E">
      <w:pPr>
        <w:tabs>
          <w:tab w:val="num" w:pos="720"/>
        </w:tabs>
        <w:spacing w:after="0" w:line="240" w:lineRule="auto"/>
        <w:rPr>
          <w:b/>
          <w:bCs/>
        </w:rPr>
      </w:pPr>
      <w:r w:rsidRPr="00934A8B">
        <w:rPr>
          <w:b/>
          <w:bCs/>
        </w:rPr>
        <w:lastRenderedPageBreak/>
        <w:t>LOKAL UYGULAMALAR</w:t>
      </w:r>
    </w:p>
    <w:p w:rsidR="00061366" w:rsidRDefault="00900554" w:rsidP="00374C9E">
      <w:pPr>
        <w:tabs>
          <w:tab w:val="num" w:pos="720"/>
        </w:tabs>
        <w:spacing w:line="240" w:lineRule="auto"/>
        <w:rPr>
          <w:bCs/>
        </w:rPr>
      </w:pPr>
      <w:r w:rsidRPr="00934A8B">
        <w:rPr>
          <w:bCs/>
        </w:rPr>
        <w:t xml:space="preserve">Sistemik olarak alınan antibiyotiklerin konsantrasyonları </w:t>
      </w:r>
      <w:r>
        <w:rPr>
          <w:bCs/>
        </w:rPr>
        <w:t xml:space="preserve">mikrobiyal </w:t>
      </w:r>
      <w:r w:rsidRPr="00934A8B">
        <w:rPr>
          <w:bCs/>
        </w:rPr>
        <w:t xml:space="preserve">biyofilm tabakası içine gömülmüş olan bakterileri ortadan kaldırmaya </w:t>
      </w:r>
      <w:r w:rsidR="002137E3">
        <w:rPr>
          <w:bCs/>
        </w:rPr>
        <w:t>yetmemesi görüşü ve</w:t>
      </w:r>
      <w:r w:rsidRPr="00934A8B">
        <w:rPr>
          <w:bCs/>
        </w:rPr>
        <w:t xml:space="preserve"> yüksek </w:t>
      </w:r>
      <w:proofErr w:type="gramStart"/>
      <w:r w:rsidRPr="00934A8B">
        <w:rPr>
          <w:bCs/>
        </w:rPr>
        <w:t>lokal</w:t>
      </w:r>
      <w:proofErr w:type="gramEnd"/>
      <w:r w:rsidRPr="00934A8B">
        <w:rPr>
          <w:bCs/>
        </w:rPr>
        <w:t xml:space="preserve"> konsantrasyonlar</w:t>
      </w:r>
      <w:r w:rsidR="002137E3">
        <w:rPr>
          <w:bCs/>
        </w:rPr>
        <w:t xml:space="preserve"> elde etmek amacıyla</w:t>
      </w:r>
      <w:r w:rsidRPr="00934A8B">
        <w:rPr>
          <w:bCs/>
        </w:rPr>
        <w:t xml:space="preserve"> antimikrobiyal ajanların doğrudan ceplere </w:t>
      </w:r>
      <w:r w:rsidR="002137E3">
        <w:rPr>
          <w:bCs/>
        </w:rPr>
        <w:t xml:space="preserve">tatbikleri düşünülmüştür. Lokal uygulamaların uzun süreli olmasını sağlamak için de yavaş salınım sağlayan sistemler geliştirilmiştir. </w:t>
      </w:r>
      <w:r w:rsidRPr="00934A8B">
        <w:rPr>
          <w:bCs/>
        </w:rPr>
        <w:t xml:space="preserve">Bu tip araçlar, enfekte olan bölgeye belirli bir süre antimikrobiyal ajan salınımı yaparak, tamamıyla </w:t>
      </w:r>
      <w:r w:rsidR="002137E3">
        <w:rPr>
          <w:bCs/>
        </w:rPr>
        <w:t>elimine edilememiş</w:t>
      </w:r>
      <w:r w:rsidRPr="00934A8B">
        <w:rPr>
          <w:bCs/>
        </w:rPr>
        <w:t xml:space="preserve"> biyofilm tabakasının içinde korunmakta olan bakterileri ortadan kaldırabilir</w:t>
      </w:r>
      <w:r w:rsidR="002137E3">
        <w:rPr>
          <w:bCs/>
        </w:rPr>
        <w:t xml:space="preserve">. </w:t>
      </w:r>
      <w:r w:rsidR="00061366" w:rsidRPr="00934A8B">
        <w:rPr>
          <w:bCs/>
        </w:rPr>
        <w:t xml:space="preserve">Ayrıca etkin ajanın doğrudan istenilen bölgeye uygulanabilmesi, sistemik olarak kullanılması mümkün olmayan antibiyotikleri kullanma </w:t>
      </w:r>
      <w:proofErr w:type="gramStart"/>
      <w:r w:rsidR="00061366" w:rsidRPr="00934A8B">
        <w:rPr>
          <w:bCs/>
        </w:rPr>
        <w:t>imkanını</w:t>
      </w:r>
      <w:proofErr w:type="gramEnd"/>
      <w:r w:rsidR="00061366" w:rsidRPr="00934A8B">
        <w:rPr>
          <w:bCs/>
        </w:rPr>
        <w:t xml:space="preserve"> </w:t>
      </w:r>
      <w:r w:rsidR="00421AB3">
        <w:rPr>
          <w:bCs/>
        </w:rPr>
        <w:t>sağlar.</w:t>
      </w:r>
      <w:r w:rsidR="00061366" w:rsidRPr="00934A8B">
        <w:rPr>
          <w:bCs/>
        </w:rPr>
        <w:t xml:space="preserve"> </w:t>
      </w:r>
      <w:r w:rsidR="002137E3" w:rsidRPr="00934A8B">
        <w:rPr>
          <w:bCs/>
        </w:rPr>
        <w:t xml:space="preserve">Kontrollü salınım yapan sistemler etken ilaç ve bu ilacın kontrollü salınımını yapan bir eleman içerirler. Periodontal cep içinde kullanılmak üzere çeşitli </w:t>
      </w:r>
      <w:proofErr w:type="gramStart"/>
      <w:r w:rsidR="002137E3" w:rsidRPr="00934A8B">
        <w:rPr>
          <w:bCs/>
        </w:rPr>
        <w:t>lokal</w:t>
      </w:r>
      <w:proofErr w:type="gramEnd"/>
      <w:r w:rsidR="002137E3" w:rsidRPr="00934A8B">
        <w:rPr>
          <w:bCs/>
        </w:rPr>
        <w:t xml:space="preserve"> salınım araçları geliştirilmiştir. Bu araçların bir kısmı rezorbe olmadığı halde biyolojik olarak ortamda eriyebilecek yapıdadır</w:t>
      </w:r>
      <w:r w:rsidR="00C540B5">
        <w:rPr>
          <w:bCs/>
        </w:rPr>
        <w:t xml:space="preserve">. </w:t>
      </w:r>
      <w:r w:rsidR="00061366">
        <w:rPr>
          <w:bCs/>
        </w:rPr>
        <w:t xml:space="preserve">Bir kısmında akış hızı kontrol edilebilir; </w:t>
      </w:r>
      <w:proofErr w:type="spellStart"/>
      <w:r w:rsidR="00061366">
        <w:rPr>
          <w:bCs/>
        </w:rPr>
        <w:t>P</w:t>
      </w:r>
      <w:r w:rsidR="00061366" w:rsidRPr="00061366">
        <w:rPr>
          <w:bCs/>
        </w:rPr>
        <w:t>olimerize</w:t>
      </w:r>
      <w:proofErr w:type="spellEnd"/>
      <w:r w:rsidR="00061366" w:rsidRPr="00061366">
        <w:rPr>
          <w:bCs/>
        </w:rPr>
        <w:t xml:space="preserve"> </w:t>
      </w:r>
      <w:proofErr w:type="spellStart"/>
      <w:r w:rsidR="00061366" w:rsidRPr="00061366">
        <w:rPr>
          <w:bCs/>
        </w:rPr>
        <w:t>matriksler</w:t>
      </w:r>
      <w:proofErr w:type="spellEnd"/>
      <w:r w:rsidR="00061366">
        <w:rPr>
          <w:bCs/>
        </w:rPr>
        <w:t xml:space="preserve">, </w:t>
      </w:r>
      <w:r w:rsidR="00061366" w:rsidRPr="00061366">
        <w:rPr>
          <w:bCs/>
        </w:rPr>
        <w:t>polimer membranlar</w:t>
      </w:r>
      <w:r w:rsidR="00061366">
        <w:rPr>
          <w:bCs/>
        </w:rPr>
        <w:t xml:space="preserve">, </w:t>
      </w:r>
      <w:proofErr w:type="spellStart"/>
      <w:r w:rsidR="00061366" w:rsidRPr="00061366">
        <w:rPr>
          <w:bCs/>
        </w:rPr>
        <w:t>monolitik</w:t>
      </w:r>
      <w:proofErr w:type="spellEnd"/>
      <w:r w:rsidR="00061366" w:rsidRPr="00061366">
        <w:rPr>
          <w:bCs/>
        </w:rPr>
        <w:t xml:space="preserve"> </w:t>
      </w:r>
      <w:proofErr w:type="spellStart"/>
      <w:r w:rsidR="00061366" w:rsidRPr="00061366">
        <w:rPr>
          <w:bCs/>
        </w:rPr>
        <w:t>matriksler</w:t>
      </w:r>
      <w:proofErr w:type="spellEnd"/>
      <w:r w:rsidR="00061366">
        <w:rPr>
          <w:bCs/>
        </w:rPr>
        <w:t xml:space="preserve">, </w:t>
      </w:r>
      <w:r w:rsidR="00061366" w:rsidRPr="00061366">
        <w:rPr>
          <w:bCs/>
        </w:rPr>
        <w:t xml:space="preserve">kaplı </w:t>
      </w:r>
      <w:proofErr w:type="gramStart"/>
      <w:r w:rsidR="00061366" w:rsidRPr="00061366">
        <w:rPr>
          <w:bCs/>
        </w:rPr>
        <w:t>partiküller</w:t>
      </w:r>
      <w:proofErr w:type="gramEnd"/>
      <w:r w:rsidR="00061366">
        <w:rPr>
          <w:bCs/>
        </w:rPr>
        <w:t>. D</w:t>
      </w:r>
      <w:r w:rsidR="00C540B5" w:rsidRPr="00934A8B">
        <w:rPr>
          <w:bCs/>
        </w:rPr>
        <w:t>i</w:t>
      </w:r>
      <w:r w:rsidR="00C540B5">
        <w:rPr>
          <w:bCs/>
        </w:rPr>
        <w:t>y</w:t>
      </w:r>
      <w:r w:rsidR="00C540B5" w:rsidRPr="00934A8B">
        <w:rPr>
          <w:bCs/>
        </w:rPr>
        <w:t>aliz tüpleri</w:t>
      </w:r>
      <w:r w:rsidR="00C540B5">
        <w:rPr>
          <w:bCs/>
        </w:rPr>
        <w:t xml:space="preserve">, </w:t>
      </w:r>
      <w:r w:rsidR="00061366">
        <w:rPr>
          <w:bCs/>
        </w:rPr>
        <w:t>f</w:t>
      </w:r>
      <w:r w:rsidR="00061366" w:rsidRPr="00061366">
        <w:rPr>
          <w:bCs/>
        </w:rPr>
        <w:t>iber</w:t>
      </w:r>
      <w:r w:rsidR="00061366">
        <w:rPr>
          <w:bCs/>
        </w:rPr>
        <w:t xml:space="preserve"> ve jel formundaki taşıyıcı sistemlerde akış hızının kontrolü mümkün değildir.</w:t>
      </w:r>
    </w:p>
    <w:p w:rsidR="00421AB3" w:rsidRPr="00421AB3" w:rsidRDefault="00061366" w:rsidP="00374C9E">
      <w:pPr>
        <w:tabs>
          <w:tab w:val="num" w:pos="720"/>
        </w:tabs>
        <w:spacing w:line="240" w:lineRule="auto"/>
        <w:rPr>
          <w:bCs/>
        </w:rPr>
      </w:pPr>
      <w:r w:rsidRPr="00061366">
        <w:rPr>
          <w:bCs/>
        </w:rPr>
        <w:t xml:space="preserve">Etilen </w:t>
      </w:r>
      <w:proofErr w:type="spellStart"/>
      <w:r w:rsidRPr="00061366">
        <w:rPr>
          <w:bCs/>
        </w:rPr>
        <w:t>vinil</w:t>
      </w:r>
      <w:proofErr w:type="spellEnd"/>
      <w:r w:rsidRPr="00061366">
        <w:rPr>
          <w:bCs/>
        </w:rPr>
        <w:t xml:space="preserve"> asetat (EVA)</w:t>
      </w:r>
      <w:r>
        <w:rPr>
          <w:bCs/>
        </w:rPr>
        <w:t xml:space="preserve">. </w:t>
      </w:r>
      <w:r w:rsidR="00421AB3">
        <w:rPr>
          <w:bCs/>
        </w:rPr>
        <w:t>%25 Tetrasiklin içerir. Dokuz günlük</w:t>
      </w:r>
      <w:r w:rsidR="008530A5">
        <w:rPr>
          <w:bCs/>
        </w:rPr>
        <w:t xml:space="preserve"> </w:t>
      </w:r>
      <w:r w:rsidR="00421AB3">
        <w:rPr>
          <w:bCs/>
        </w:rPr>
        <w:t xml:space="preserve">bir salınım süresi vardır. </w:t>
      </w:r>
      <w:proofErr w:type="spellStart"/>
      <w:r w:rsidR="00421AB3">
        <w:rPr>
          <w:bCs/>
        </w:rPr>
        <w:t>Siyanoakrilik</w:t>
      </w:r>
      <w:proofErr w:type="spellEnd"/>
      <w:r w:rsidR="00421AB3">
        <w:rPr>
          <w:bCs/>
        </w:rPr>
        <w:t xml:space="preserve"> bir </w:t>
      </w:r>
      <w:r w:rsidR="008530A5">
        <w:rPr>
          <w:bCs/>
        </w:rPr>
        <w:t>yapıştırıcı</w:t>
      </w:r>
      <w:r w:rsidR="00421AB3">
        <w:rPr>
          <w:bCs/>
        </w:rPr>
        <w:t xml:space="preserve"> ve profesyonel uygulama gerektirir. </w:t>
      </w:r>
      <w:r w:rsidR="00AF490D" w:rsidRPr="00061366">
        <w:rPr>
          <w:bCs/>
        </w:rPr>
        <w:t xml:space="preserve">Uygulama </w:t>
      </w:r>
      <w:r w:rsidR="00421AB3" w:rsidRPr="00061366">
        <w:rPr>
          <w:bCs/>
        </w:rPr>
        <w:t>zaman alı</w:t>
      </w:r>
      <w:r w:rsidR="00421AB3">
        <w:rPr>
          <w:bCs/>
        </w:rPr>
        <w:t xml:space="preserve">cı, </w:t>
      </w:r>
      <w:r w:rsidR="00AF490D" w:rsidRPr="00061366">
        <w:rPr>
          <w:bCs/>
        </w:rPr>
        <w:t>zor ve ağrılı</w:t>
      </w:r>
      <w:r w:rsidR="00421AB3">
        <w:rPr>
          <w:bCs/>
        </w:rPr>
        <w:t>dır.</w:t>
      </w:r>
      <w:r>
        <w:rPr>
          <w:bCs/>
        </w:rPr>
        <w:t xml:space="preserve"> </w:t>
      </w:r>
      <w:r w:rsidR="00421AB3">
        <w:rPr>
          <w:bCs/>
        </w:rPr>
        <w:t>Tedaviye dirençli</w:t>
      </w:r>
      <w:r w:rsidR="00AF490D" w:rsidRPr="00061366">
        <w:rPr>
          <w:bCs/>
        </w:rPr>
        <w:t xml:space="preserve"> </w:t>
      </w:r>
      <w:proofErr w:type="gramStart"/>
      <w:r w:rsidR="00421AB3">
        <w:rPr>
          <w:bCs/>
        </w:rPr>
        <w:t>l</w:t>
      </w:r>
      <w:r w:rsidR="00421AB3" w:rsidRPr="00061366">
        <w:rPr>
          <w:bCs/>
        </w:rPr>
        <w:t>okalize</w:t>
      </w:r>
      <w:proofErr w:type="gramEnd"/>
      <w:r w:rsidR="00421AB3" w:rsidRPr="00061366">
        <w:rPr>
          <w:bCs/>
        </w:rPr>
        <w:t xml:space="preserve"> </w:t>
      </w:r>
      <w:r w:rsidR="00AF490D" w:rsidRPr="00061366">
        <w:rPr>
          <w:bCs/>
        </w:rPr>
        <w:t>bölgeler</w:t>
      </w:r>
      <w:r w:rsidR="00421AB3">
        <w:rPr>
          <w:bCs/>
        </w:rPr>
        <w:t>de ve</w:t>
      </w:r>
      <w:r>
        <w:rPr>
          <w:bCs/>
        </w:rPr>
        <w:t xml:space="preserve"> </w:t>
      </w:r>
      <w:r w:rsidR="00421AB3">
        <w:rPr>
          <w:bCs/>
        </w:rPr>
        <w:t>k</w:t>
      </w:r>
      <w:r w:rsidR="00AF490D" w:rsidRPr="00061366">
        <w:rPr>
          <w:bCs/>
        </w:rPr>
        <w:t>onvansiyonel tedavi alması mümkün olmayan hastalar</w:t>
      </w:r>
      <w:r w:rsidR="00421AB3">
        <w:rPr>
          <w:bCs/>
        </w:rPr>
        <w:t>da kullanılabilir. Yine de elde edilen sonuçlar tartışmalıdır.</w:t>
      </w:r>
      <w:r w:rsidR="00AF490D">
        <w:rPr>
          <w:bCs/>
        </w:rPr>
        <w:t xml:space="preserve"> </w:t>
      </w:r>
      <w:r w:rsidR="00421AB3" w:rsidRPr="00421AB3">
        <w:rPr>
          <w:bCs/>
        </w:rPr>
        <w:t xml:space="preserve">Akrilik ve </w:t>
      </w:r>
      <w:r w:rsidR="008530A5" w:rsidRPr="00421AB3">
        <w:rPr>
          <w:bCs/>
        </w:rPr>
        <w:t>selüloz</w:t>
      </w:r>
      <w:r w:rsidR="00421AB3" w:rsidRPr="00421AB3">
        <w:rPr>
          <w:bCs/>
        </w:rPr>
        <w:t xml:space="preserve"> </w:t>
      </w:r>
      <w:proofErr w:type="spellStart"/>
      <w:r w:rsidR="00421AB3" w:rsidRPr="00421AB3">
        <w:rPr>
          <w:bCs/>
        </w:rPr>
        <w:t>stripler</w:t>
      </w:r>
      <w:r w:rsidR="00421AB3">
        <w:rPr>
          <w:bCs/>
        </w:rPr>
        <w:t>in</w:t>
      </w:r>
      <w:proofErr w:type="spellEnd"/>
      <w:r w:rsidR="00421AB3">
        <w:rPr>
          <w:bCs/>
        </w:rPr>
        <w:t xml:space="preserve"> e</w:t>
      </w:r>
      <w:r w:rsidR="00421AB3" w:rsidRPr="00421AB3">
        <w:rPr>
          <w:bCs/>
        </w:rPr>
        <w:t>tki süre</w:t>
      </w:r>
      <w:r w:rsidR="00421AB3">
        <w:rPr>
          <w:bCs/>
        </w:rPr>
        <w:t>leri altı gün civarındadır k</w:t>
      </w:r>
      <w:r w:rsidR="00421AB3" w:rsidRPr="00421AB3">
        <w:rPr>
          <w:bCs/>
        </w:rPr>
        <w:t xml:space="preserve">lorheksidin ve </w:t>
      </w:r>
      <w:r w:rsidR="00421AB3">
        <w:rPr>
          <w:bCs/>
        </w:rPr>
        <w:t>m</w:t>
      </w:r>
      <w:r w:rsidR="00421AB3" w:rsidRPr="00421AB3">
        <w:rPr>
          <w:bCs/>
        </w:rPr>
        <w:t xml:space="preserve">etronidazol </w:t>
      </w:r>
      <w:r w:rsidR="00421AB3">
        <w:rPr>
          <w:bCs/>
        </w:rPr>
        <w:t>k</w:t>
      </w:r>
      <w:r w:rsidR="00421AB3" w:rsidRPr="00421AB3">
        <w:rPr>
          <w:bCs/>
        </w:rPr>
        <w:t>ullanılmıştır</w:t>
      </w:r>
      <w:r w:rsidR="00421AB3">
        <w:rPr>
          <w:bCs/>
        </w:rPr>
        <w:t>. Yüzde ikilik</w:t>
      </w:r>
      <w:r w:rsidR="00421AB3" w:rsidRPr="00421AB3">
        <w:rPr>
          <w:bCs/>
        </w:rPr>
        <w:t xml:space="preserve"> </w:t>
      </w:r>
      <w:proofErr w:type="spellStart"/>
      <w:r w:rsidR="00421AB3">
        <w:rPr>
          <w:bCs/>
        </w:rPr>
        <w:t>m</w:t>
      </w:r>
      <w:r w:rsidR="00421AB3" w:rsidRPr="00421AB3">
        <w:rPr>
          <w:bCs/>
        </w:rPr>
        <w:t>inosiklin</w:t>
      </w:r>
      <w:proofErr w:type="spellEnd"/>
      <w:r w:rsidR="00421AB3" w:rsidRPr="00421AB3">
        <w:rPr>
          <w:bCs/>
        </w:rPr>
        <w:t xml:space="preserve"> </w:t>
      </w:r>
      <w:r w:rsidR="00421AB3">
        <w:rPr>
          <w:bCs/>
        </w:rPr>
        <w:t xml:space="preserve">içeren </w:t>
      </w:r>
      <w:r w:rsidR="00421AB3" w:rsidRPr="00421AB3">
        <w:rPr>
          <w:bCs/>
        </w:rPr>
        <w:t>(</w:t>
      </w:r>
      <w:proofErr w:type="spellStart"/>
      <w:r w:rsidR="00421AB3" w:rsidRPr="00421AB3">
        <w:rPr>
          <w:bCs/>
        </w:rPr>
        <w:t>Dentomycine</w:t>
      </w:r>
      <w:proofErr w:type="spellEnd"/>
      <w:r w:rsidR="00421AB3" w:rsidRPr="00421AB3">
        <w:rPr>
          <w:bCs/>
        </w:rPr>
        <w:t xml:space="preserve">- </w:t>
      </w:r>
      <w:proofErr w:type="spellStart"/>
      <w:r w:rsidR="00421AB3" w:rsidRPr="00421AB3">
        <w:rPr>
          <w:bCs/>
        </w:rPr>
        <w:t>Periocline</w:t>
      </w:r>
      <w:proofErr w:type="spellEnd"/>
      <w:r w:rsidR="00421AB3" w:rsidRPr="00421AB3">
        <w:rPr>
          <w:bCs/>
        </w:rPr>
        <w:t>)</w:t>
      </w:r>
      <w:r w:rsidR="00421AB3">
        <w:rPr>
          <w:bCs/>
        </w:rPr>
        <w:t xml:space="preserve"> ve </w:t>
      </w:r>
      <w:r w:rsidR="00421AB3" w:rsidRPr="00421AB3">
        <w:rPr>
          <w:bCs/>
        </w:rPr>
        <w:t xml:space="preserve">%25’lik </w:t>
      </w:r>
      <w:proofErr w:type="spellStart"/>
      <w:r w:rsidR="00421AB3">
        <w:rPr>
          <w:bCs/>
        </w:rPr>
        <w:t>t</w:t>
      </w:r>
      <w:r w:rsidR="00421AB3" w:rsidRPr="00421AB3">
        <w:rPr>
          <w:bCs/>
        </w:rPr>
        <w:t>etroni</w:t>
      </w:r>
      <w:bookmarkStart w:id="0" w:name="_GoBack"/>
      <w:bookmarkEnd w:id="0"/>
      <w:r w:rsidR="00421AB3" w:rsidRPr="00421AB3">
        <w:rPr>
          <w:bCs/>
        </w:rPr>
        <w:t>dazol</w:t>
      </w:r>
      <w:proofErr w:type="spellEnd"/>
      <w:r w:rsidR="00421AB3" w:rsidRPr="00421AB3">
        <w:rPr>
          <w:bCs/>
        </w:rPr>
        <w:t xml:space="preserve"> (</w:t>
      </w:r>
      <w:proofErr w:type="spellStart"/>
      <w:r w:rsidR="00421AB3" w:rsidRPr="00421AB3">
        <w:rPr>
          <w:bCs/>
        </w:rPr>
        <w:t>Elyzol</w:t>
      </w:r>
      <w:proofErr w:type="spellEnd"/>
      <w:r w:rsidR="00421AB3" w:rsidRPr="00421AB3">
        <w:rPr>
          <w:bCs/>
        </w:rPr>
        <w:t>)</w:t>
      </w:r>
      <w:r w:rsidR="00421AB3">
        <w:rPr>
          <w:bCs/>
        </w:rPr>
        <w:t xml:space="preserve"> Jeller piyasada bulunmaktadır.</w:t>
      </w:r>
    </w:p>
    <w:p w:rsidR="00D80B68" w:rsidRDefault="00934A8B" w:rsidP="00D80B68">
      <w:pPr>
        <w:spacing w:after="0" w:line="240" w:lineRule="auto"/>
        <w:ind w:left="360"/>
        <w:rPr>
          <w:bCs/>
        </w:rPr>
      </w:pPr>
      <w:r w:rsidRPr="00D80B68">
        <w:rPr>
          <w:bCs/>
        </w:rPr>
        <w:t xml:space="preserve">Antibiyotiklerin </w:t>
      </w:r>
      <w:proofErr w:type="gramStart"/>
      <w:r w:rsidRPr="00D80B68">
        <w:rPr>
          <w:bCs/>
        </w:rPr>
        <w:t>lokal</w:t>
      </w:r>
      <w:proofErr w:type="gramEnd"/>
      <w:r w:rsidRPr="00D80B68">
        <w:rPr>
          <w:bCs/>
        </w:rPr>
        <w:t xml:space="preserve"> yolla </w:t>
      </w:r>
      <w:r w:rsidR="00C540B5" w:rsidRPr="00D80B68">
        <w:rPr>
          <w:bCs/>
        </w:rPr>
        <w:t xml:space="preserve">(site spesifik) </w:t>
      </w:r>
      <w:r w:rsidRPr="00D80B68">
        <w:rPr>
          <w:bCs/>
        </w:rPr>
        <w:t>uygulanmalarının avantaj</w:t>
      </w:r>
      <w:r w:rsidR="008270FF">
        <w:rPr>
          <w:bCs/>
        </w:rPr>
        <w:t>ları</w:t>
      </w:r>
    </w:p>
    <w:p w:rsidR="00D80B68" w:rsidRPr="00D80B68" w:rsidRDefault="00AF490D" w:rsidP="00D80B68">
      <w:pPr>
        <w:pStyle w:val="ListeParagraf"/>
        <w:numPr>
          <w:ilvl w:val="0"/>
          <w:numId w:val="8"/>
        </w:numPr>
        <w:spacing w:after="0" w:line="240" w:lineRule="auto"/>
        <w:rPr>
          <w:bCs/>
        </w:rPr>
      </w:pPr>
      <w:r w:rsidRPr="00D80B68">
        <w:rPr>
          <w:bCs/>
        </w:rPr>
        <w:t>İlaç dozunu azaltır</w:t>
      </w:r>
    </w:p>
    <w:p w:rsidR="00D80B68" w:rsidRDefault="00D80B68" w:rsidP="00D80B68">
      <w:pPr>
        <w:pStyle w:val="ListeParagraf"/>
        <w:numPr>
          <w:ilvl w:val="0"/>
          <w:numId w:val="7"/>
        </w:numPr>
        <w:spacing w:after="0" w:line="240" w:lineRule="auto"/>
        <w:rPr>
          <w:bCs/>
        </w:rPr>
      </w:pPr>
      <w:r w:rsidRPr="00D80B68">
        <w:rPr>
          <w:bCs/>
        </w:rPr>
        <w:t xml:space="preserve">Tüm vücuda dağılmadan istenen bölgede yeterli </w:t>
      </w:r>
      <w:proofErr w:type="gramStart"/>
      <w:r w:rsidRPr="00D80B68">
        <w:rPr>
          <w:bCs/>
        </w:rPr>
        <w:t>konsantrasyonda</w:t>
      </w:r>
      <w:proofErr w:type="gramEnd"/>
      <w:r w:rsidRPr="00D80B68">
        <w:rPr>
          <w:bCs/>
        </w:rPr>
        <w:t xml:space="preserve"> kal</w:t>
      </w:r>
      <w:r>
        <w:rPr>
          <w:bCs/>
        </w:rPr>
        <w:t>ır</w:t>
      </w:r>
    </w:p>
    <w:p w:rsidR="00D80B68" w:rsidRPr="00D80B68" w:rsidRDefault="00AF490D" w:rsidP="00D80B68">
      <w:pPr>
        <w:pStyle w:val="ListeParagraf"/>
        <w:numPr>
          <w:ilvl w:val="0"/>
          <w:numId w:val="7"/>
        </w:numPr>
        <w:spacing w:after="0" w:line="240" w:lineRule="auto"/>
        <w:rPr>
          <w:bCs/>
        </w:rPr>
      </w:pPr>
      <w:r w:rsidRPr="00D80B68">
        <w:rPr>
          <w:bCs/>
        </w:rPr>
        <w:t>Sistemik yan etkiler</w:t>
      </w:r>
      <w:r w:rsidR="00D80B68">
        <w:rPr>
          <w:bCs/>
        </w:rPr>
        <w:t>i</w:t>
      </w:r>
      <w:r w:rsidRPr="00D80B68">
        <w:rPr>
          <w:bCs/>
        </w:rPr>
        <w:t xml:space="preserve"> azalır (</w:t>
      </w:r>
      <w:proofErr w:type="spellStart"/>
      <w:r w:rsidR="00D80B68" w:rsidRPr="00D80B68">
        <w:rPr>
          <w:bCs/>
        </w:rPr>
        <w:t>Gastrik</w:t>
      </w:r>
      <w:proofErr w:type="spellEnd"/>
      <w:r w:rsidR="00D80B68" w:rsidRPr="00D80B68">
        <w:rPr>
          <w:bCs/>
        </w:rPr>
        <w:t xml:space="preserve"> </w:t>
      </w:r>
      <w:r w:rsidRPr="00D80B68">
        <w:rPr>
          <w:bCs/>
        </w:rPr>
        <w:t>sorunlar g</w:t>
      </w:r>
      <w:r w:rsidR="00C540B5" w:rsidRPr="00D80B68">
        <w:rPr>
          <w:bCs/>
        </w:rPr>
        <w:t>i</w:t>
      </w:r>
      <w:r w:rsidRPr="00D80B68">
        <w:rPr>
          <w:bCs/>
        </w:rPr>
        <w:t>b</w:t>
      </w:r>
      <w:r w:rsidR="00C540B5" w:rsidRPr="00D80B68">
        <w:rPr>
          <w:bCs/>
        </w:rPr>
        <w:t>i</w:t>
      </w:r>
      <w:r w:rsidRPr="00D80B68">
        <w:rPr>
          <w:bCs/>
        </w:rPr>
        <w:t>)</w:t>
      </w:r>
    </w:p>
    <w:p w:rsidR="009F480F" w:rsidRPr="00D80B68" w:rsidRDefault="006A35B6" w:rsidP="00D80B68">
      <w:pPr>
        <w:pStyle w:val="ListeParagraf"/>
        <w:numPr>
          <w:ilvl w:val="0"/>
          <w:numId w:val="7"/>
        </w:numPr>
        <w:spacing w:after="0" w:line="240" w:lineRule="auto"/>
        <w:rPr>
          <w:bCs/>
        </w:rPr>
      </w:pPr>
      <w:r w:rsidRPr="00D80B68">
        <w:rPr>
          <w:bCs/>
        </w:rPr>
        <w:t xml:space="preserve">Etkilenmiş alanların uzağındaki bölgelerde normal </w:t>
      </w:r>
      <w:proofErr w:type="gramStart"/>
      <w:r w:rsidRPr="00D80B68">
        <w:rPr>
          <w:bCs/>
        </w:rPr>
        <w:t>florayı</w:t>
      </w:r>
      <w:proofErr w:type="gramEnd"/>
      <w:r w:rsidRPr="00D80B68">
        <w:rPr>
          <w:bCs/>
        </w:rPr>
        <w:t xml:space="preserve"> değiştir</w:t>
      </w:r>
      <w:r w:rsidR="00D80B68">
        <w:rPr>
          <w:bCs/>
        </w:rPr>
        <w:t>mez</w:t>
      </w:r>
    </w:p>
    <w:p w:rsidR="009F480F" w:rsidRPr="00D80B68" w:rsidRDefault="006A35B6" w:rsidP="00D80B68">
      <w:pPr>
        <w:pStyle w:val="ListeParagraf"/>
        <w:numPr>
          <w:ilvl w:val="0"/>
          <w:numId w:val="7"/>
        </w:numPr>
        <w:spacing w:after="0" w:line="240" w:lineRule="auto"/>
        <w:rPr>
          <w:bCs/>
        </w:rPr>
      </w:pPr>
      <w:r w:rsidRPr="00D80B68">
        <w:rPr>
          <w:bCs/>
        </w:rPr>
        <w:t>Antibiyotiklere ka</w:t>
      </w:r>
      <w:r w:rsidR="00D80B68">
        <w:rPr>
          <w:bCs/>
        </w:rPr>
        <w:t>rşı direnç gelişimi daha zor</w:t>
      </w:r>
    </w:p>
    <w:p w:rsidR="009F480F" w:rsidRPr="00D80B68" w:rsidRDefault="006A35B6" w:rsidP="00D80B68">
      <w:pPr>
        <w:pStyle w:val="ListeParagraf"/>
        <w:numPr>
          <w:ilvl w:val="0"/>
          <w:numId w:val="7"/>
        </w:numPr>
        <w:spacing w:after="0" w:line="240" w:lineRule="auto"/>
        <w:rPr>
          <w:bCs/>
        </w:rPr>
      </w:pPr>
      <w:r w:rsidRPr="00D80B68">
        <w:rPr>
          <w:bCs/>
        </w:rPr>
        <w:t>Hasta tarafından kolayca kullanılabil</w:t>
      </w:r>
      <w:r w:rsidR="00D80B68">
        <w:rPr>
          <w:bCs/>
        </w:rPr>
        <w:t>ir</w:t>
      </w:r>
    </w:p>
    <w:p w:rsidR="009F480F" w:rsidRDefault="006A35B6" w:rsidP="00D80B68">
      <w:pPr>
        <w:pStyle w:val="ListeParagraf"/>
        <w:numPr>
          <w:ilvl w:val="0"/>
          <w:numId w:val="7"/>
        </w:numPr>
        <w:spacing w:line="240" w:lineRule="auto"/>
        <w:rPr>
          <w:bCs/>
        </w:rPr>
      </w:pPr>
      <w:r w:rsidRPr="00D80B68">
        <w:rPr>
          <w:bCs/>
        </w:rPr>
        <w:t xml:space="preserve">Oral </w:t>
      </w:r>
      <w:proofErr w:type="gramStart"/>
      <w:r w:rsidRPr="00D80B68">
        <w:rPr>
          <w:bCs/>
        </w:rPr>
        <w:t>hijyeni</w:t>
      </w:r>
      <w:proofErr w:type="gramEnd"/>
      <w:r w:rsidRPr="00D80B68">
        <w:rPr>
          <w:bCs/>
        </w:rPr>
        <w:t xml:space="preserve"> tam sağlayamayan mental ve fiziksel özürlülerde ve ortodontik aparey kullananlarda rahat ve uygun kullanım sağla</w:t>
      </w:r>
      <w:r w:rsidR="00D80B68">
        <w:rPr>
          <w:bCs/>
        </w:rPr>
        <w:t>r</w:t>
      </w:r>
    </w:p>
    <w:p w:rsidR="006A35B6" w:rsidRDefault="00934A8B" w:rsidP="00862C6B">
      <w:pPr>
        <w:tabs>
          <w:tab w:val="num" w:pos="720"/>
        </w:tabs>
        <w:spacing w:after="0" w:line="240" w:lineRule="auto"/>
        <w:rPr>
          <w:bCs/>
        </w:rPr>
      </w:pPr>
      <w:r w:rsidRPr="00934A8B">
        <w:rPr>
          <w:bCs/>
        </w:rPr>
        <w:t>Lokal antibiyotik uygulamasının dezavantajları</w:t>
      </w:r>
    </w:p>
    <w:p w:rsidR="006A35B6" w:rsidRDefault="006A35B6" w:rsidP="006A35B6">
      <w:pPr>
        <w:pStyle w:val="ListeParagraf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H</w:t>
      </w:r>
      <w:r w:rsidR="00934A8B" w:rsidRPr="00934A8B">
        <w:rPr>
          <w:bCs/>
        </w:rPr>
        <w:t>astada aşırı duyarlılık reaksiyonu oluşabilme riski</w:t>
      </w:r>
    </w:p>
    <w:p w:rsidR="006A35B6" w:rsidRDefault="006A35B6" w:rsidP="006A35B6">
      <w:pPr>
        <w:pStyle w:val="ListeParagraf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Z</w:t>
      </w:r>
      <w:r w:rsidR="00934A8B" w:rsidRPr="00934A8B">
        <w:rPr>
          <w:bCs/>
        </w:rPr>
        <w:t>aman alıcı bir işlem olması</w:t>
      </w:r>
    </w:p>
    <w:p w:rsidR="006A35B6" w:rsidRDefault="006A35B6" w:rsidP="006A35B6">
      <w:pPr>
        <w:pStyle w:val="ListeParagraf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P</w:t>
      </w:r>
      <w:r w:rsidR="00374C9E">
        <w:rPr>
          <w:bCs/>
        </w:rPr>
        <w:t>ahalılığı</w:t>
      </w:r>
    </w:p>
    <w:p w:rsidR="006A35B6" w:rsidRDefault="006A35B6" w:rsidP="006A35B6">
      <w:pPr>
        <w:pStyle w:val="ListeParagraf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T</w:t>
      </w:r>
      <w:r w:rsidR="00934A8B" w:rsidRPr="00934A8B">
        <w:rPr>
          <w:bCs/>
        </w:rPr>
        <w:t>aşıyıcı sistemin doğru şekilde kullanılmaması sonucu dokulara zarar verebilme olasılığı</w:t>
      </w:r>
    </w:p>
    <w:p w:rsidR="008270FF" w:rsidRDefault="006A35B6" w:rsidP="006A35B6">
      <w:pPr>
        <w:pStyle w:val="ListeParagraf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T</w:t>
      </w:r>
      <w:r w:rsidR="00934A8B" w:rsidRPr="00934A8B">
        <w:rPr>
          <w:bCs/>
        </w:rPr>
        <w:t xml:space="preserve">edavi tamamlandıktan sonra </w:t>
      </w:r>
      <w:r w:rsidR="00374C9E">
        <w:rPr>
          <w:bCs/>
        </w:rPr>
        <w:t xml:space="preserve">taşıyıcı sistemin </w:t>
      </w:r>
      <w:r w:rsidR="00934A8B" w:rsidRPr="00934A8B">
        <w:rPr>
          <w:bCs/>
        </w:rPr>
        <w:t>bölgeden tam olarak uzaklaştırılma</w:t>
      </w:r>
      <w:r w:rsidR="00374C9E">
        <w:rPr>
          <w:bCs/>
        </w:rPr>
        <w:t>sı</w:t>
      </w:r>
      <w:r w:rsidR="00D80B68">
        <w:rPr>
          <w:bCs/>
        </w:rPr>
        <w:t>ndaki</w:t>
      </w:r>
      <w:r w:rsidR="00934A8B" w:rsidRPr="00934A8B">
        <w:rPr>
          <w:bCs/>
        </w:rPr>
        <w:t xml:space="preserve"> güç</w:t>
      </w:r>
      <w:r w:rsidR="00D80B68">
        <w:rPr>
          <w:bCs/>
        </w:rPr>
        <w:t>lük</w:t>
      </w:r>
      <w:r w:rsidR="00374C9E">
        <w:rPr>
          <w:bCs/>
        </w:rPr>
        <w:t xml:space="preserve"> (tedavi </w:t>
      </w:r>
      <w:r w:rsidR="00374C9E" w:rsidRPr="00934A8B">
        <w:rPr>
          <w:bCs/>
        </w:rPr>
        <w:t xml:space="preserve">sonrasında </w:t>
      </w:r>
      <w:proofErr w:type="gramStart"/>
      <w:r w:rsidR="00374C9E" w:rsidRPr="00934A8B">
        <w:rPr>
          <w:bCs/>
        </w:rPr>
        <w:t>enfeksiyon</w:t>
      </w:r>
      <w:proofErr w:type="gramEnd"/>
      <w:r w:rsidR="00374C9E" w:rsidRPr="00934A8B">
        <w:rPr>
          <w:bCs/>
        </w:rPr>
        <w:t xml:space="preserve"> odağı oluşturma riski</w:t>
      </w:r>
      <w:r>
        <w:rPr>
          <w:bCs/>
        </w:rPr>
        <w:t>)</w:t>
      </w:r>
      <w:r w:rsidR="00934A8B" w:rsidRPr="00934A8B">
        <w:rPr>
          <w:bCs/>
        </w:rPr>
        <w:t xml:space="preserve"> </w:t>
      </w: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8270FF" w:rsidRDefault="008270FF" w:rsidP="008270FF">
      <w:pPr>
        <w:spacing w:after="0" w:line="240" w:lineRule="auto"/>
        <w:rPr>
          <w:bCs/>
        </w:rPr>
      </w:pPr>
    </w:p>
    <w:p w:rsidR="00934A8B" w:rsidRPr="008270FF" w:rsidRDefault="00934A8B" w:rsidP="008270FF">
      <w:pPr>
        <w:spacing w:after="0" w:line="240" w:lineRule="auto"/>
        <w:rPr>
          <w:bCs/>
        </w:rPr>
      </w:pPr>
      <w:r w:rsidRPr="008270FF">
        <w:rPr>
          <w:bCs/>
        </w:rPr>
        <w:t xml:space="preserve"> </w:t>
      </w:r>
    </w:p>
    <w:tbl>
      <w:tblPr>
        <w:tblStyle w:val="TabloKlavuzu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530"/>
        <w:gridCol w:w="4095"/>
        <w:gridCol w:w="1782"/>
        <w:gridCol w:w="1881"/>
      </w:tblGrid>
      <w:tr w:rsidR="001F74BA" w:rsidRPr="00A938E8" w:rsidTr="00B033B9">
        <w:trPr>
          <w:trHeight w:hRule="exact" w:val="340"/>
        </w:trPr>
        <w:tc>
          <w:tcPr>
            <w:tcW w:w="9288" w:type="dxa"/>
            <w:gridSpan w:val="4"/>
            <w:hideMark/>
          </w:tcPr>
          <w:p w:rsidR="001F74BA" w:rsidRPr="00A938E8" w:rsidRDefault="001F74BA" w:rsidP="00374C9E">
            <w:pPr>
              <w:spacing w:after="200"/>
              <w:jc w:val="center"/>
              <w:rPr>
                <w:bCs/>
              </w:rPr>
            </w:pPr>
            <w:r w:rsidRPr="00A938E8">
              <w:rPr>
                <w:b/>
                <w:bCs/>
              </w:rPr>
              <w:t>PERİODONTAL HASTALIKLARIN TEDAVİSİNDE KULLANILAN ANTİBİYOTİKLER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rPr>
                <w:bCs/>
              </w:rPr>
            </w:pPr>
            <w:r w:rsidRPr="00A938E8">
              <w:rPr>
                <w:b/>
                <w:bCs/>
              </w:rPr>
              <w:t>Antibiyotik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rPr>
                <w:bCs/>
              </w:rPr>
            </w:pPr>
            <w:r w:rsidRPr="00A938E8">
              <w:rPr>
                <w:b/>
                <w:bCs/>
              </w:rPr>
              <w:t>Özellik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rPr>
                <w:bCs/>
              </w:rPr>
            </w:pPr>
            <w:r w:rsidRPr="00A938E8">
              <w:rPr>
                <w:b/>
                <w:bCs/>
              </w:rPr>
              <w:t>Sunum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jc w:val="both"/>
              <w:rPr>
                <w:bCs/>
              </w:rPr>
            </w:pPr>
            <w:r w:rsidRPr="00A938E8">
              <w:rPr>
                <w:b/>
                <w:bCs/>
              </w:rPr>
              <w:t>Dozaj/Süre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Amoxillin</w:t>
            </w:r>
            <w:proofErr w:type="spellEnd"/>
            <w:r w:rsidRPr="00A938E8">
              <w:rPr>
                <w:bCs/>
              </w:rPr>
              <w:t xml:space="preserve">*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Geniş spektrum, sistemik kullanım 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500 mg 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3X1 / 8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Augmentin</w:t>
            </w:r>
            <w:proofErr w:type="spellEnd"/>
            <w:r w:rsidRPr="00A938E8">
              <w:rPr>
                <w:bCs/>
              </w:rPr>
              <w:t xml:space="preserve">*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Penisilinaz</w:t>
            </w:r>
            <w:proofErr w:type="spellEnd"/>
            <w:r w:rsidRPr="00A938E8">
              <w:rPr>
                <w:bCs/>
              </w:rPr>
              <w:t xml:space="preserve"> enzimine dirençli, sistemik </w:t>
            </w:r>
          </w:p>
        </w:tc>
        <w:tc>
          <w:tcPr>
            <w:tcW w:w="1782" w:type="dxa"/>
            <w:hideMark/>
          </w:tcPr>
          <w:p w:rsidR="001F74BA" w:rsidRPr="00A938E8" w:rsidRDefault="00B033B9" w:rsidP="00374C9E">
            <w:pPr>
              <w:spacing w:after="200"/>
              <w:rPr>
                <w:bCs/>
              </w:rPr>
            </w:pPr>
            <w:r>
              <w:rPr>
                <w:bCs/>
              </w:rPr>
              <w:t>1000</w:t>
            </w:r>
            <w:r w:rsidR="001F74BA" w:rsidRPr="00A938E8">
              <w:rPr>
                <w:bCs/>
              </w:rPr>
              <w:t xml:space="preserve"> mg </w:t>
            </w:r>
          </w:p>
        </w:tc>
        <w:tc>
          <w:tcPr>
            <w:tcW w:w="1881" w:type="dxa"/>
            <w:hideMark/>
          </w:tcPr>
          <w:p w:rsidR="001F74BA" w:rsidRPr="00A938E8" w:rsidRDefault="00B033B9" w:rsidP="00374C9E">
            <w:pPr>
              <w:spacing w:after="200"/>
              <w:rPr>
                <w:bCs/>
              </w:rPr>
            </w:pPr>
            <w:r>
              <w:rPr>
                <w:bCs/>
              </w:rPr>
              <w:t>2</w:t>
            </w:r>
            <w:r w:rsidR="001F74BA" w:rsidRPr="00A938E8">
              <w:rPr>
                <w:bCs/>
              </w:rPr>
              <w:t xml:space="preserve">X1 / 8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Minocycline</w:t>
            </w:r>
            <w:proofErr w:type="spellEnd"/>
            <w:r w:rsidRPr="00A938E8">
              <w:rPr>
                <w:bCs/>
              </w:rPr>
              <w:t xml:space="preserve">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Geniş spektrum sistemik ve </w:t>
            </w:r>
            <w:proofErr w:type="gramStart"/>
            <w:r w:rsidRPr="00A938E8">
              <w:rPr>
                <w:bCs/>
              </w:rPr>
              <w:t>lokal</w:t>
            </w:r>
            <w:proofErr w:type="gramEnd"/>
            <w:r w:rsidRPr="00A938E8">
              <w:rPr>
                <w:bCs/>
              </w:rPr>
              <w:t xml:space="preserve"> 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100-200 mg 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1X1 / 21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Doxycycline</w:t>
            </w:r>
            <w:proofErr w:type="spellEnd"/>
            <w:r w:rsidRPr="00A938E8">
              <w:rPr>
                <w:bCs/>
              </w:rPr>
              <w:t xml:space="preserve">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Geniş spektrum sistemik ve </w:t>
            </w:r>
            <w:proofErr w:type="gramStart"/>
            <w:r w:rsidRPr="00A938E8">
              <w:rPr>
                <w:bCs/>
              </w:rPr>
              <w:t>lokal</w:t>
            </w:r>
            <w:proofErr w:type="gramEnd"/>
            <w:r w:rsidRPr="00A938E8">
              <w:rPr>
                <w:bCs/>
              </w:rPr>
              <w:t xml:space="preserve"> 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100-200 mg 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1X1 / 21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Tetracycline</w:t>
            </w:r>
            <w:proofErr w:type="spellEnd"/>
            <w:r w:rsidRPr="00A938E8">
              <w:rPr>
                <w:bCs/>
              </w:rPr>
              <w:t xml:space="preserve">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Geniş spektrum 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>
              <w:rPr>
                <w:bCs/>
              </w:rPr>
              <w:t>250 mg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>
              <w:rPr>
                <w:bCs/>
              </w:rPr>
              <w:t>3X1 / 8 gün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Cprofloxacin</w:t>
            </w:r>
            <w:proofErr w:type="spellEnd"/>
            <w:r w:rsidRPr="00A938E8">
              <w:rPr>
                <w:bCs/>
              </w:rPr>
              <w:t xml:space="preserve">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Gr (-) </w:t>
            </w:r>
            <w:r w:rsidR="00FF7E0F" w:rsidRPr="00A938E8">
              <w:rPr>
                <w:bCs/>
              </w:rPr>
              <w:t>lere, sağlıklı</w:t>
            </w:r>
            <w:r w:rsidRPr="00A938E8">
              <w:rPr>
                <w:bCs/>
              </w:rPr>
              <w:t xml:space="preserve"> flora oluşturma 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5oo mg 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2X1 / 8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Azithromiycin</w:t>
            </w:r>
            <w:proofErr w:type="spellEnd"/>
            <w:r w:rsidRPr="00A938E8">
              <w:rPr>
                <w:bCs/>
              </w:rPr>
              <w:t xml:space="preserve">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İltihap bölgesinde yoğunlaşma, sistemik 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500 mg 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1X1 / 4-7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Clindamycin</w:t>
            </w:r>
            <w:proofErr w:type="spellEnd"/>
            <w:r w:rsidRPr="00A938E8">
              <w:rPr>
                <w:bCs/>
              </w:rPr>
              <w:t xml:space="preserve">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Penisiline </w:t>
            </w:r>
            <w:r w:rsidR="00FF7E0F" w:rsidRPr="00A938E8">
              <w:rPr>
                <w:bCs/>
              </w:rPr>
              <w:t>alerjiklerde</w:t>
            </w:r>
            <w:r w:rsidRPr="00A938E8">
              <w:rPr>
                <w:bCs/>
              </w:rPr>
              <w:t xml:space="preserve">, aneorobikler 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300 mg 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3X1 /  10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proofErr w:type="spellStart"/>
            <w:r w:rsidRPr="00A938E8">
              <w:rPr>
                <w:bCs/>
              </w:rPr>
              <w:t>Metronidazole</w:t>
            </w:r>
            <w:proofErr w:type="spellEnd"/>
            <w:r w:rsidRPr="00A938E8">
              <w:rPr>
                <w:bCs/>
              </w:rPr>
              <w:t xml:space="preserve">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Aneorobik, sistemik ve </w:t>
            </w:r>
            <w:proofErr w:type="gramStart"/>
            <w:r w:rsidRPr="00A938E8">
              <w:rPr>
                <w:bCs/>
              </w:rPr>
              <w:t>lokal</w:t>
            </w:r>
            <w:proofErr w:type="gramEnd"/>
            <w:r w:rsidRPr="00A938E8">
              <w:rPr>
                <w:bCs/>
              </w:rPr>
              <w:t xml:space="preserve"> </w:t>
            </w:r>
          </w:p>
        </w:tc>
        <w:tc>
          <w:tcPr>
            <w:tcW w:w="1782" w:type="dxa"/>
            <w:hideMark/>
          </w:tcPr>
          <w:p w:rsidR="001F74BA" w:rsidRPr="00A938E8" w:rsidRDefault="00B033B9" w:rsidP="00374C9E">
            <w:pPr>
              <w:spacing w:after="200"/>
              <w:rPr>
                <w:bCs/>
              </w:rPr>
            </w:pPr>
            <w:r>
              <w:rPr>
                <w:bCs/>
              </w:rPr>
              <w:t>250</w:t>
            </w:r>
            <w:r w:rsidR="001F74BA" w:rsidRPr="00A938E8">
              <w:rPr>
                <w:bCs/>
              </w:rPr>
              <w:t xml:space="preserve"> mg</w:t>
            </w:r>
            <w:r>
              <w:rPr>
                <w:bCs/>
              </w:rPr>
              <w:t>, 500 mg</w:t>
            </w:r>
            <w:r w:rsidR="001F74BA" w:rsidRPr="00A938E8">
              <w:rPr>
                <w:bCs/>
              </w:rPr>
              <w:t xml:space="preserve"> </w:t>
            </w:r>
          </w:p>
        </w:tc>
        <w:tc>
          <w:tcPr>
            <w:tcW w:w="1881" w:type="dxa"/>
            <w:hideMark/>
          </w:tcPr>
          <w:p w:rsidR="001F74BA" w:rsidRPr="00A938E8" w:rsidRDefault="00B033B9" w:rsidP="00374C9E">
            <w:pPr>
              <w:spacing w:after="200"/>
              <w:rPr>
                <w:bCs/>
              </w:rPr>
            </w:pPr>
            <w:r>
              <w:rPr>
                <w:bCs/>
              </w:rPr>
              <w:t xml:space="preserve">3X1 / , 2X1 </w:t>
            </w:r>
            <w:r w:rsidR="001F74BA" w:rsidRPr="00A938E8">
              <w:rPr>
                <w:bCs/>
              </w:rPr>
              <w:t xml:space="preserve">8 gün 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0" w:type="auto"/>
            <w:hideMark/>
          </w:tcPr>
          <w:p w:rsidR="001F74BA" w:rsidRPr="004B7A8E" w:rsidRDefault="001F74BA" w:rsidP="00374C9E">
            <w:pPr>
              <w:spacing w:after="200"/>
              <w:rPr>
                <w:b/>
                <w:bCs/>
              </w:rPr>
            </w:pPr>
            <w:r w:rsidRPr="004B7A8E">
              <w:rPr>
                <w:b/>
                <w:bCs/>
              </w:rPr>
              <w:t xml:space="preserve">Kombinasyon </w:t>
            </w:r>
          </w:p>
        </w:tc>
        <w:tc>
          <w:tcPr>
            <w:tcW w:w="4095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</w:p>
        </w:tc>
      </w:tr>
      <w:tr w:rsidR="001F74BA" w:rsidRPr="00A938E8" w:rsidTr="00B033B9">
        <w:trPr>
          <w:trHeight w:hRule="exact" w:val="340"/>
        </w:trPr>
        <w:tc>
          <w:tcPr>
            <w:tcW w:w="5625" w:type="dxa"/>
            <w:gridSpan w:val="2"/>
            <w:hideMark/>
          </w:tcPr>
          <w:p w:rsidR="001F74BA" w:rsidRPr="00A938E8" w:rsidRDefault="001F74BA" w:rsidP="00374C9E">
            <w:pPr>
              <w:rPr>
                <w:bCs/>
              </w:rPr>
            </w:pPr>
            <w:proofErr w:type="spellStart"/>
            <w:r w:rsidRPr="00A938E8">
              <w:rPr>
                <w:bCs/>
              </w:rPr>
              <w:t>Metronidazole</w:t>
            </w:r>
            <w:proofErr w:type="spellEnd"/>
            <w:r w:rsidRPr="00A938E8">
              <w:rPr>
                <w:bCs/>
              </w:rPr>
              <w:t xml:space="preserve"> + </w:t>
            </w:r>
            <w:proofErr w:type="spellStart"/>
            <w:r w:rsidRPr="00A938E8">
              <w:rPr>
                <w:bCs/>
              </w:rPr>
              <w:t>Amoxillin</w:t>
            </w:r>
            <w:proofErr w:type="spellEnd"/>
            <w:r w:rsidRPr="00A938E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</w:t>
            </w:r>
            <w:r w:rsidRPr="00A938E8">
              <w:rPr>
                <w:bCs/>
              </w:rPr>
              <w:t>Her birinden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rPr>
                <w:bCs/>
              </w:rPr>
            </w:pPr>
            <w:r w:rsidRPr="00A938E8">
              <w:rPr>
                <w:bCs/>
              </w:rPr>
              <w:t>250 mg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>3X1 /  8 gün</w:t>
            </w:r>
          </w:p>
        </w:tc>
      </w:tr>
      <w:tr w:rsidR="001F74BA" w:rsidRPr="00A938E8" w:rsidTr="00B033B9">
        <w:trPr>
          <w:trHeight w:hRule="exact" w:val="340"/>
        </w:trPr>
        <w:tc>
          <w:tcPr>
            <w:tcW w:w="5625" w:type="dxa"/>
            <w:gridSpan w:val="2"/>
            <w:hideMark/>
          </w:tcPr>
          <w:p w:rsidR="001F74BA" w:rsidRPr="00A938E8" w:rsidRDefault="001F74BA" w:rsidP="00374C9E">
            <w:pPr>
              <w:rPr>
                <w:bCs/>
              </w:rPr>
            </w:pPr>
            <w:proofErr w:type="spellStart"/>
            <w:r>
              <w:rPr>
                <w:bCs/>
              </w:rPr>
              <w:t>Metronidazole</w:t>
            </w:r>
            <w:proofErr w:type="spellEnd"/>
            <w:r>
              <w:rPr>
                <w:bCs/>
              </w:rPr>
              <w:t xml:space="preserve"> </w:t>
            </w:r>
            <w:r w:rsidRPr="00A938E8">
              <w:rPr>
                <w:bCs/>
              </w:rPr>
              <w:t xml:space="preserve">+ </w:t>
            </w:r>
            <w:proofErr w:type="spellStart"/>
            <w:r w:rsidRPr="00A938E8">
              <w:rPr>
                <w:bCs/>
              </w:rPr>
              <w:t>Cprofloxacin</w:t>
            </w:r>
            <w:proofErr w:type="spellEnd"/>
            <w:r w:rsidRPr="00A938E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</w:t>
            </w:r>
            <w:r w:rsidRPr="00A938E8">
              <w:rPr>
                <w:bCs/>
              </w:rPr>
              <w:t>Her birinden</w:t>
            </w:r>
          </w:p>
        </w:tc>
        <w:tc>
          <w:tcPr>
            <w:tcW w:w="1782" w:type="dxa"/>
            <w:hideMark/>
          </w:tcPr>
          <w:p w:rsidR="001F74BA" w:rsidRPr="00A938E8" w:rsidRDefault="001F74BA" w:rsidP="00374C9E">
            <w:pPr>
              <w:rPr>
                <w:bCs/>
              </w:rPr>
            </w:pPr>
            <w:r w:rsidRPr="00A938E8">
              <w:rPr>
                <w:bCs/>
              </w:rPr>
              <w:t>500 mg</w:t>
            </w:r>
          </w:p>
        </w:tc>
        <w:tc>
          <w:tcPr>
            <w:tcW w:w="1881" w:type="dxa"/>
            <w:hideMark/>
          </w:tcPr>
          <w:p w:rsidR="001F74BA" w:rsidRPr="00A938E8" w:rsidRDefault="001F74BA" w:rsidP="00374C9E">
            <w:pPr>
              <w:rPr>
                <w:bCs/>
              </w:rPr>
            </w:pPr>
            <w:r w:rsidRPr="00A938E8">
              <w:rPr>
                <w:bCs/>
              </w:rPr>
              <w:t>2X1 / 8 gün</w:t>
            </w:r>
          </w:p>
        </w:tc>
      </w:tr>
      <w:tr w:rsidR="001F74BA" w:rsidRPr="00A938E8" w:rsidTr="00B033B9">
        <w:trPr>
          <w:trHeight w:hRule="exact" w:val="737"/>
        </w:trPr>
        <w:tc>
          <w:tcPr>
            <w:tcW w:w="9288" w:type="dxa"/>
            <w:gridSpan w:val="4"/>
            <w:hideMark/>
          </w:tcPr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  <w:i/>
                <w:iCs/>
              </w:rPr>
              <w:t>*Endikasyon</w:t>
            </w:r>
            <w:r w:rsidRPr="00A938E8">
              <w:rPr>
                <w:bCs/>
              </w:rPr>
              <w:t xml:space="preserve">: Lokalize </w:t>
            </w:r>
            <w:proofErr w:type="gramStart"/>
            <w:r w:rsidRPr="00A938E8">
              <w:rPr>
                <w:bCs/>
              </w:rPr>
              <w:t>agresif</w:t>
            </w:r>
            <w:proofErr w:type="gramEnd"/>
            <w:r w:rsidRPr="00A938E8">
              <w:rPr>
                <w:bCs/>
              </w:rPr>
              <w:t xml:space="preserve"> periodontitis (LAP), generalize agresif periodontitis (GAP), </w:t>
            </w:r>
            <w:proofErr w:type="spellStart"/>
            <w:r w:rsidRPr="00A938E8">
              <w:rPr>
                <w:bCs/>
              </w:rPr>
              <w:t>sist</w:t>
            </w:r>
            <w:proofErr w:type="spellEnd"/>
            <w:r w:rsidRPr="00A938E8">
              <w:rPr>
                <w:bCs/>
              </w:rPr>
              <w:t xml:space="preserve">. </w:t>
            </w:r>
            <w:proofErr w:type="spellStart"/>
            <w:r w:rsidRPr="00A938E8">
              <w:rPr>
                <w:bCs/>
              </w:rPr>
              <w:t>Hast</w:t>
            </w:r>
            <w:proofErr w:type="spellEnd"/>
            <w:r w:rsidRPr="00A938E8">
              <w:rPr>
                <w:bCs/>
              </w:rPr>
              <w:t xml:space="preserve">. İlişkili periodontitis (SHP), </w:t>
            </w:r>
            <w:proofErr w:type="spellStart"/>
            <w:r w:rsidRPr="00A938E8">
              <w:rPr>
                <w:bCs/>
              </w:rPr>
              <w:t>Refraktory</w:t>
            </w:r>
            <w:proofErr w:type="spellEnd"/>
            <w:r w:rsidRPr="00A938E8">
              <w:rPr>
                <w:bCs/>
              </w:rPr>
              <w:t xml:space="preserve"> periodontitis (RP)</w:t>
            </w:r>
          </w:p>
          <w:p w:rsidR="001F74BA" w:rsidRPr="00A938E8" w:rsidRDefault="001F74BA" w:rsidP="00374C9E">
            <w:pPr>
              <w:spacing w:after="200"/>
              <w:rPr>
                <w:bCs/>
              </w:rPr>
            </w:pPr>
            <w:r w:rsidRPr="00A938E8">
              <w:rPr>
                <w:bCs/>
              </w:rPr>
              <w:t xml:space="preserve">**Endikasyon: LAP, GAP, SHP, RP </w:t>
            </w:r>
          </w:p>
        </w:tc>
      </w:tr>
    </w:tbl>
    <w:p w:rsidR="003E152E" w:rsidRDefault="003E152E" w:rsidP="00374C9E">
      <w:pPr>
        <w:spacing w:line="240" w:lineRule="auto"/>
      </w:pPr>
    </w:p>
    <w:p w:rsidR="003E152E" w:rsidRDefault="003E152E" w:rsidP="00374C9E">
      <w:pPr>
        <w:spacing w:line="240" w:lineRule="auto"/>
      </w:pPr>
    </w:p>
    <w:p w:rsidR="003E152E" w:rsidRPr="00605857" w:rsidRDefault="00800441" w:rsidP="00374C9E">
      <w:pPr>
        <w:spacing w:line="240" w:lineRule="auto"/>
      </w:pPr>
      <w:r>
        <w:rPr>
          <w:noProof/>
          <w:lang w:eastAsia="tr-TR"/>
        </w:rPr>
        <w:drawing>
          <wp:inline distT="0" distB="0" distL="0" distR="0" wp14:anchorId="6B76EABC">
            <wp:extent cx="5009060" cy="310895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36" cy="3111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152E" w:rsidRPr="00605857" w:rsidSect="002E15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08" w:rsidRDefault="00BB3A08" w:rsidP="00437554">
      <w:pPr>
        <w:spacing w:after="0" w:line="240" w:lineRule="auto"/>
      </w:pPr>
      <w:r>
        <w:separator/>
      </w:r>
    </w:p>
  </w:endnote>
  <w:endnote w:type="continuationSeparator" w:id="0">
    <w:p w:rsidR="00BB3A08" w:rsidRDefault="00BB3A08" w:rsidP="0043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TT31c8ca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TT31c8d7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469323"/>
      <w:docPartObj>
        <w:docPartGallery w:val="Page Numbers (Bottom of Page)"/>
        <w:docPartUnique/>
      </w:docPartObj>
    </w:sdtPr>
    <w:sdtEndPr/>
    <w:sdtContent>
      <w:p w:rsidR="001C0B5A" w:rsidRDefault="00CD2A82">
        <w:pPr>
          <w:pStyle w:val="Altbilgi"/>
          <w:jc w:val="right"/>
        </w:pPr>
        <w:r>
          <w:fldChar w:fldCharType="begin"/>
        </w:r>
        <w:r w:rsidR="001C0B5A">
          <w:instrText>PAGE   \* MERGEFORMAT</w:instrText>
        </w:r>
        <w:r>
          <w:fldChar w:fldCharType="separate"/>
        </w:r>
        <w:r w:rsidR="008530A5">
          <w:rPr>
            <w:noProof/>
          </w:rPr>
          <w:t>5</w:t>
        </w:r>
        <w:r>
          <w:fldChar w:fldCharType="end"/>
        </w:r>
      </w:p>
    </w:sdtContent>
  </w:sdt>
  <w:p w:rsidR="00437554" w:rsidRDefault="004375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08" w:rsidRDefault="00BB3A08" w:rsidP="00437554">
      <w:pPr>
        <w:spacing w:after="0" w:line="240" w:lineRule="auto"/>
      </w:pPr>
      <w:r>
        <w:separator/>
      </w:r>
    </w:p>
  </w:footnote>
  <w:footnote w:type="continuationSeparator" w:id="0">
    <w:p w:rsidR="00BB3A08" w:rsidRDefault="00BB3A08" w:rsidP="00437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6C9"/>
    <w:multiLevelType w:val="hybridMultilevel"/>
    <w:tmpl w:val="865ACB30"/>
    <w:lvl w:ilvl="0" w:tplc="6C94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AA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66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EF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C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E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6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6C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CD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2861CD"/>
    <w:multiLevelType w:val="hybridMultilevel"/>
    <w:tmpl w:val="73F4C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52E73"/>
    <w:multiLevelType w:val="hybridMultilevel"/>
    <w:tmpl w:val="6A3840F2"/>
    <w:lvl w:ilvl="0" w:tplc="0434B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EC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43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E4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0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2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0C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8C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41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E407CD"/>
    <w:multiLevelType w:val="hybridMultilevel"/>
    <w:tmpl w:val="F570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43691"/>
    <w:multiLevelType w:val="hybridMultilevel"/>
    <w:tmpl w:val="33EC3C8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4A2F96"/>
    <w:multiLevelType w:val="hybridMultilevel"/>
    <w:tmpl w:val="98B24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045C1"/>
    <w:multiLevelType w:val="hybridMultilevel"/>
    <w:tmpl w:val="9BA81D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F26455"/>
    <w:multiLevelType w:val="hybridMultilevel"/>
    <w:tmpl w:val="D52C97F4"/>
    <w:lvl w:ilvl="0" w:tplc="FB06C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82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EC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2A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40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E8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9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4F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69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618C6"/>
    <w:multiLevelType w:val="hybridMultilevel"/>
    <w:tmpl w:val="58529C1C"/>
    <w:lvl w:ilvl="0" w:tplc="48EA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C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2D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4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24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E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4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8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6F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8EC"/>
    <w:rsid w:val="00037E25"/>
    <w:rsid w:val="00061366"/>
    <w:rsid w:val="00082D68"/>
    <w:rsid w:val="00092608"/>
    <w:rsid w:val="000B4618"/>
    <w:rsid w:val="000D23CD"/>
    <w:rsid w:val="000E46F7"/>
    <w:rsid w:val="00130D7A"/>
    <w:rsid w:val="00134E26"/>
    <w:rsid w:val="00175641"/>
    <w:rsid w:val="001C0B5A"/>
    <w:rsid w:val="001C1A7C"/>
    <w:rsid w:val="001D04CB"/>
    <w:rsid w:val="001D1284"/>
    <w:rsid w:val="001D338B"/>
    <w:rsid w:val="001E2B15"/>
    <w:rsid w:val="001F74BA"/>
    <w:rsid w:val="002137E3"/>
    <w:rsid w:val="00270288"/>
    <w:rsid w:val="00293BAE"/>
    <w:rsid w:val="0029675E"/>
    <w:rsid w:val="002D600D"/>
    <w:rsid w:val="002E158E"/>
    <w:rsid w:val="002E65DE"/>
    <w:rsid w:val="00305907"/>
    <w:rsid w:val="0031034E"/>
    <w:rsid w:val="00374C9E"/>
    <w:rsid w:val="003C3C2B"/>
    <w:rsid w:val="003C6539"/>
    <w:rsid w:val="003D1C88"/>
    <w:rsid w:val="003D74AF"/>
    <w:rsid w:val="003E14F3"/>
    <w:rsid w:val="003E152E"/>
    <w:rsid w:val="00410B80"/>
    <w:rsid w:val="00411EAF"/>
    <w:rsid w:val="00421AB3"/>
    <w:rsid w:val="00437554"/>
    <w:rsid w:val="00446E5D"/>
    <w:rsid w:val="004624CA"/>
    <w:rsid w:val="004628EC"/>
    <w:rsid w:val="0046533A"/>
    <w:rsid w:val="004848A3"/>
    <w:rsid w:val="00497109"/>
    <w:rsid w:val="004B21AF"/>
    <w:rsid w:val="004B7A8E"/>
    <w:rsid w:val="004E6FD8"/>
    <w:rsid w:val="005754B4"/>
    <w:rsid w:val="00580509"/>
    <w:rsid w:val="005D4397"/>
    <w:rsid w:val="00605857"/>
    <w:rsid w:val="006A35B6"/>
    <w:rsid w:val="006C44F8"/>
    <w:rsid w:val="006D38AF"/>
    <w:rsid w:val="006D5FB6"/>
    <w:rsid w:val="0070767B"/>
    <w:rsid w:val="00713FD8"/>
    <w:rsid w:val="0072257A"/>
    <w:rsid w:val="00733D85"/>
    <w:rsid w:val="00735E35"/>
    <w:rsid w:val="00753B60"/>
    <w:rsid w:val="00765172"/>
    <w:rsid w:val="00777A7C"/>
    <w:rsid w:val="00786319"/>
    <w:rsid w:val="007D3DAF"/>
    <w:rsid w:val="007D666C"/>
    <w:rsid w:val="007E3CA2"/>
    <w:rsid w:val="00800441"/>
    <w:rsid w:val="00800750"/>
    <w:rsid w:val="00817E73"/>
    <w:rsid w:val="008270FF"/>
    <w:rsid w:val="008530A5"/>
    <w:rsid w:val="00862C6B"/>
    <w:rsid w:val="0087329E"/>
    <w:rsid w:val="008C4327"/>
    <w:rsid w:val="00900554"/>
    <w:rsid w:val="0092774A"/>
    <w:rsid w:val="00934A8B"/>
    <w:rsid w:val="00953ABD"/>
    <w:rsid w:val="00996766"/>
    <w:rsid w:val="009A0A6D"/>
    <w:rsid w:val="009A32A1"/>
    <w:rsid w:val="009B028F"/>
    <w:rsid w:val="009B7B6F"/>
    <w:rsid w:val="009C228E"/>
    <w:rsid w:val="009C48A1"/>
    <w:rsid w:val="009D42E7"/>
    <w:rsid w:val="009F480F"/>
    <w:rsid w:val="009F5173"/>
    <w:rsid w:val="00A141C8"/>
    <w:rsid w:val="00A406B7"/>
    <w:rsid w:val="00A5272A"/>
    <w:rsid w:val="00A53F8D"/>
    <w:rsid w:val="00A65250"/>
    <w:rsid w:val="00A938E8"/>
    <w:rsid w:val="00AF490D"/>
    <w:rsid w:val="00B033B9"/>
    <w:rsid w:val="00B6340A"/>
    <w:rsid w:val="00B96B8B"/>
    <w:rsid w:val="00BB3A08"/>
    <w:rsid w:val="00C34AC6"/>
    <w:rsid w:val="00C41D8D"/>
    <w:rsid w:val="00C47312"/>
    <w:rsid w:val="00C540B5"/>
    <w:rsid w:val="00C56A39"/>
    <w:rsid w:val="00CC206A"/>
    <w:rsid w:val="00CC6440"/>
    <w:rsid w:val="00CD2A82"/>
    <w:rsid w:val="00CD7BAA"/>
    <w:rsid w:val="00D1170D"/>
    <w:rsid w:val="00D52C0C"/>
    <w:rsid w:val="00D64439"/>
    <w:rsid w:val="00D70494"/>
    <w:rsid w:val="00D80B68"/>
    <w:rsid w:val="00DA4B74"/>
    <w:rsid w:val="00E1333F"/>
    <w:rsid w:val="00E8408D"/>
    <w:rsid w:val="00E9298E"/>
    <w:rsid w:val="00EC637D"/>
    <w:rsid w:val="00ED070B"/>
    <w:rsid w:val="00F90F80"/>
    <w:rsid w:val="00F91DDF"/>
    <w:rsid w:val="00FD44C5"/>
    <w:rsid w:val="00FE6674"/>
    <w:rsid w:val="00FE76E6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666C"/>
    <w:pPr>
      <w:ind w:left="720"/>
      <w:contextualSpacing/>
    </w:pPr>
  </w:style>
  <w:style w:type="table" w:styleId="TabloKlavuzu">
    <w:name w:val="Table Grid"/>
    <w:basedOn w:val="NormalTablo"/>
    <w:uiPriority w:val="59"/>
    <w:rsid w:val="004B7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7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4A8B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3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7554"/>
  </w:style>
  <w:style w:type="paragraph" w:styleId="Altbilgi">
    <w:name w:val="footer"/>
    <w:basedOn w:val="Normal"/>
    <w:link w:val="AltbilgiChar"/>
    <w:uiPriority w:val="99"/>
    <w:unhideWhenUsed/>
    <w:rsid w:val="0043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554"/>
  </w:style>
  <w:style w:type="paragraph" w:styleId="BalonMetni">
    <w:name w:val="Balloon Text"/>
    <w:basedOn w:val="Normal"/>
    <w:link w:val="BalonMetniChar"/>
    <w:uiPriority w:val="99"/>
    <w:semiHidden/>
    <w:unhideWhenUsed/>
    <w:rsid w:val="0080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29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06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04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</dc:creator>
  <cp:lastModifiedBy>Casper</cp:lastModifiedBy>
  <cp:revision>34</cp:revision>
  <cp:lastPrinted>2013-03-11T13:02:00Z</cp:lastPrinted>
  <dcterms:created xsi:type="dcterms:W3CDTF">2010-06-06T08:02:00Z</dcterms:created>
  <dcterms:modified xsi:type="dcterms:W3CDTF">2015-03-23T08:51:00Z</dcterms:modified>
</cp:coreProperties>
</file>